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27BCD" w:rsidRPr="00540CA8" w:rsidRDefault="007D24D7" w:rsidP="00540CA8">
      <w:pPr>
        <w:pBdr>
          <w:top w:val="nil"/>
          <w:left w:val="nil"/>
          <w:bottom w:val="nil"/>
          <w:right w:val="nil"/>
          <w:between w:val="nil"/>
        </w:pBdr>
        <w:spacing w:after="120" w:line="360" w:lineRule="auto"/>
        <w:rPr>
          <w:rFonts w:ascii="Arial" w:eastAsia="Arial" w:hAnsi="Arial" w:cs="Arial"/>
          <w:b/>
          <w:color w:val="010000"/>
          <w:sz w:val="20"/>
          <w:szCs w:val="20"/>
        </w:rPr>
      </w:pPr>
      <w:bookmarkStart w:id="0" w:name="_GoBack"/>
      <w:r w:rsidRPr="00540CA8">
        <w:rPr>
          <w:rFonts w:ascii="Arial" w:hAnsi="Arial" w:cs="Arial"/>
          <w:b/>
          <w:color w:val="010000"/>
          <w:sz w:val="20"/>
        </w:rPr>
        <w:t>VLC: Board Resolution</w:t>
      </w:r>
    </w:p>
    <w:p w14:paraId="00000002" w14:textId="00A2A0C1" w:rsidR="00527BCD" w:rsidRPr="00540CA8" w:rsidRDefault="007D24D7" w:rsidP="00540CA8">
      <w:pPr>
        <w:pBdr>
          <w:top w:val="nil"/>
          <w:left w:val="nil"/>
          <w:bottom w:val="nil"/>
          <w:right w:val="nil"/>
          <w:between w:val="nil"/>
        </w:pBdr>
        <w:spacing w:after="120" w:line="360" w:lineRule="auto"/>
        <w:rPr>
          <w:rFonts w:ascii="Arial" w:eastAsia="Arial" w:hAnsi="Arial" w:cs="Arial"/>
          <w:color w:val="010000"/>
          <w:sz w:val="20"/>
          <w:szCs w:val="20"/>
        </w:rPr>
      </w:pPr>
      <w:bookmarkStart w:id="1" w:name="_heading=h.gjdgxs"/>
      <w:bookmarkEnd w:id="1"/>
      <w:r w:rsidRPr="00540CA8">
        <w:rPr>
          <w:rFonts w:ascii="Arial" w:hAnsi="Arial" w:cs="Arial"/>
          <w:color w:val="010000"/>
          <w:sz w:val="20"/>
        </w:rPr>
        <w:t>On May 6, 2024, Vietnam Livestock Corporation ( VILICO</w:t>
      </w:r>
      <w:r w:rsidR="0049169B" w:rsidRPr="00540CA8">
        <w:rPr>
          <w:rFonts w:ascii="Arial" w:hAnsi="Arial" w:cs="Arial"/>
          <w:color w:val="010000"/>
          <w:sz w:val="20"/>
        </w:rPr>
        <w:t>)</w:t>
      </w:r>
      <w:r w:rsidRPr="00540CA8">
        <w:rPr>
          <w:rFonts w:ascii="Arial" w:hAnsi="Arial" w:cs="Arial"/>
          <w:color w:val="010000"/>
          <w:sz w:val="20"/>
        </w:rPr>
        <w:t xml:space="preserve"> – Joint Stock Company announced Resolution No. 15/2024/VLC/NQ-HDQT on approving transactions between Vietnam Livestock Corporation ( VILICO</w:t>
      </w:r>
      <w:r w:rsidR="0049169B" w:rsidRPr="00540CA8">
        <w:rPr>
          <w:rFonts w:ascii="Arial" w:hAnsi="Arial" w:cs="Arial"/>
          <w:color w:val="010000"/>
          <w:sz w:val="20"/>
        </w:rPr>
        <w:t>)</w:t>
      </w:r>
      <w:r w:rsidRPr="00540CA8">
        <w:rPr>
          <w:rFonts w:ascii="Arial" w:hAnsi="Arial" w:cs="Arial"/>
          <w:color w:val="010000"/>
          <w:sz w:val="20"/>
        </w:rPr>
        <w:t xml:space="preserve"> – Joint Stock Company and Vietnam Dairy Cow One-Member Company Limited as follows: </w:t>
      </w:r>
    </w:p>
    <w:p w14:paraId="00000003" w14:textId="77777777" w:rsidR="00527BCD" w:rsidRPr="00540CA8" w:rsidRDefault="007D24D7" w:rsidP="00540CA8">
      <w:pPr>
        <w:pBdr>
          <w:top w:val="nil"/>
          <w:left w:val="nil"/>
          <w:bottom w:val="nil"/>
          <w:right w:val="nil"/>
          <w:between w:val="nil"/>
        </w:pBdr>
        <w:spacing w:after="120" w:line="360" w:lineRule="auto"/>
        <w:rPr>
          <w:rFonts w:ascii="Arial" w:eastAsia="Arial" w:hAnsi="Arial" w:cs="Arial"/>
          <w:color w:val="010000"/>
          <w:sz w:val="20"/>
          <w:szCs w:val="20"/>
        </w:rPr>
      </w:pPr>
      <w:r w:rsidRPr="00540CA8">
        <w:rPr>
          <w:rFonts w:ascii="Arial" w:hAnsi="Arial" w:cs="Arial"/>
          <w:color w:val="010000"/>
          <w:sz w:val="20"/>
        </w:rPr>
        <w:t>‎‎Article 1. Approve transactions with Vietnam Dairy Cow One-Member Company Limited, specifically as follows:</w:t>
      </w:r>
    </w:p>
    <w:p w14:paraId="00000004" w14:textId="77777777" w:rsidR="00527BCD" w:rsidRPr="00540CA8" w:rsidRDefault="007D24D7" w:rsidP="00540CA8">
      <w:pPr>
        <w:numPr>
          <w:ilvl w:val="0"/>
          <w:numId w:val="3"/>
        </w:numPr>
        <w:pBdr>
          <w:top w:val="nil"/>
          <w:left w:val="nil"/>
          <w:bottom w:val="nil"/>
          <w:right w:val="nil"/>
          <w:between w:val="nil"/>
        </w:pBdr>
        <w:tabs>
          <w:tab w:val="left" w:pos="620"/>
        </w:tabs>
        <w:spacing w:after="120" w:line="360" w:lineRule="auto"/>
        <w:rPr>
          <w:rFonts w:ascii="Arial" w:eastAsia="Arial" w:hAnsi="Arial" w:cs="Arial"/>
          <w:color w:val="010000"/>
          <w:sz w:val="20"/>
          <w:szCs w:val="20"/>
        </w:rPr>
      </w:pPr>
      <w:r w:rsidRPr="00540CA8">
        <w:rPr>
          <w:rFonts w:ascii="Arial" w:hAnsi="Arial" w:cs="Arial"/>
          <w:color w:val="010000"/>
          <w:sz w:val="20"/>
        </w:rPr>
        <w:t>Subject of transaction and commercial terms</w:t>
      </w:r>
    </w:p>
    <w:p w14:paraId="00000005" w14:textId="77777777" w:rsidR="00527BCD" w:rsidRPr="00540CA8" w:rsidRDefault="007D24D7" w:rsidP="00540CA8">
      <w:pPr>
        <w:numPr>
          <w:ilvl w:val="0"/>
          <w:numId w:val="4"/>
        </w:numPr>
        <w:pBdr>
          <w:top w:val="nil"/>
          <w:left w:val="nil"/>
          <w:bottom w:val="nil"/>
          <w:right w:val="nil"/>
          <w:between w:val="nil"/>
        </w:pBdr>
        <w:tabs>
          <w:tab w:val="left" w:pos="658"/>
        </w:tabs>
        <w:spacing w:after="120" w:line="360" w:lineRule="auto"/>
        <w:rPr>
          <w:rFonts w:ascii="Arial" w:eastAsia="Arial" w:hAnsi="Arial" w:cs="Arial"/>
          <w:color w:val="010000"/>
          <w:sz w:val="20"/>
          <w:szCs w:val="20"/>
        </w:rPr>
      </w:pPr>
      <w:r w:rsidRPr="00540CA8">
        <w:rPr>
          <w:rFonts w:ascii="Arial" w:hAnsi="Arial" w:cs="Arial"/>
          <w:color w:val="010000"/>
          <w:sz w:val="20"/>
        </w:rPr>
        <w:t>Service purchase transaction from Vietnam Dairy Cow One-Member Company Limited</w:t>
      </w:r>
    </w:p>
    <w:p w14:paraId="00000006" w14:textId="77777777" w:rsidR="00527BCD" w:rsidRPr="00540CA8" w:rsidRDefault="007D24D7" w:rsidP="00540CA8">
      <w:pPr>
        <w:pBdr>
          <w:top w:val="nil"/>
          <w:left w:val="nil"/>
          <w:bottom w:val="nil"/>
          <w:right w:val="nil"/>
          <w:between w:val="nil"/>
        </w:pBdr>
        <w:spacing w:after="120" w:line="360" w:lineRule="auto"/>
        <w:rPr>
          <w:rFonts w:ascii="Arial" w:eastAsia="Arial" w:hAnsi="Arial" w:cs="Arial"/>
          <w:color w:val="010000"/>
          <w:sz w:val="20"/>
          <w:szCs w:val="20"/>
        </w:rPr>
      </w:pPr>
      <w:r w:rsidRPr="00540CA8">
        <w:rPr>
          <w:rFonts w:ascii="Arial" w:hAnsi="Arial" w:cs="Arial"/>
          <w:color w:val="010000"/>
          <w:sz w:val="20"/>
        </w:rPr>
        <w:t>Subject of transaction and commercial terms:</w:t>
      </w:r>
    </w:p>
    <w:p w14:paraId="00000007" w14:textId="77777777" w:rsidR="00527BCD" w:rsidRPr="00540CA8" w:rsidRDefault="007D24D7" w:rsidP="00540CA8">
      <w:pPr>
        <w:pStyle w:val="ListParagraph"/>
        <w:numPr>
          <w:ilvl w:val="0"/>
          <w:numId w:val="5"/>
        </w:numPr>
        <w:pBdr>
          <w:top w:val="nil"/>
          <w:left w:val="nil"/>
          <w:bottom w:val="nil"/>
          <w:right w:val="nil"/>
          <w:between w:val="nil"/>
        </w:pBdr>
        <w:spacing w:after="120" w:line="360" w:lineRule="auto"/>
        <w:ind w:left="0" w:firstLine="0"/>
        <w:contextualSpacing w:val="0"/>
        <w:rPr>
          <w:rFonts w:ascii="Arial" w:eastAsia="Arial" w:hAnsi="Arial" w:cs="Arial"/>
          <w:color w:val="010000"/>
          <w:sz w:val="20"/>
          <w:szCs w:val="20"/>
        </w:rPr>
      </w:pPr>
      <w:r w:rsidRPr="00540CA8">
        <w:rPr>
          <w:rFonts w:ascii="Arial" w:hAnsi="Arial" w:cs="Arial"/>
          <w:color w:val="010000"/>
          <w:sz w:val="20"/>
        </w:rPr>
        <w:t>VLC purchases consulting services from Vietnam Dairy Cow One-Member Company Limited</w:t>
      </w:r>
    </w:p>
    <w:p w14:paraId="00000008" w14:textId="77777777" w:rsidR="00527BCD" w:rsidRPr="00540CA8" w:rsidRDefault="007D24D7" w:rsidP="00540CA8">
      <w:pPr>
        <w:numPr>
          <w:ilvl w:val="0"/>
          <w:numId w:val="1"/>
        </w:numPr>
        <w:pBdr>
          <w:top w:val="nil"/>
          <w:left w:val="nil"/>
          <w:bottom w:val="nil"/>
          <w:right w:val="nil"/>
          <w:between w:val="nil"/>
        </w:pBdr>
        <w:spacing w:after="120" w:line="360" w:lineRule="auto"/>
        <w:ind w:left="0" w:firstLine="0"/>
        <w:rPr>
          <w:rFonts w:ascii="Arial" w:eastAsia="Arial" w:hAnsi="Arial" w:cs="Arial"/>
          <w:color w:val="010000"/>
          <w:sz w:val="20"/>
          <w:szCs w:val="20"/>
        </w:rPr>
      </w:pPr>
      <w:r w:rsidRPr="00540CA8">
        <w:rPr>
          <w:rFonts w:ascii="Arial" w:hAnsi="Arial" w:cs="Arial"/>
          <w:color w:val="010000"/>
          <w:sz w:val="20"/>
        </w:rPr>
        <w:t>Unit price: Depends on market price fluctuations and service purchase price at the time of arising</w:t>
      </w:r>
    </w:p>
    <w:p w14:paraId="00000009" w14:textId="77777777" w:rsidR="00527BCD" w:rsidRPr="00540CA8" w:rsidRDefault="007D24D7" w:rsidP="00540CA8">
      <w:pPr>
        <w:numPr>
          <w:ilvl w:val="0"/>
          <w:numId w:val="1"/>
        </w:numPr>
        <w:pBdr>
          <w:top w:val="nil"/>
          <w:left w:val="nil"/>
          <w:bottom w:val="nil"/>
          <w:right w:val="nil"/>
          <w:between w:val="nil"/>
        </w:pBdr>
        <w:spacing w:after="120" w:line="360" w:lineRule="auto"/>
        <w:ind w:left="0" w:firstLine="0"/>
        <w:rPr>
          <w:rFonts w:ascii="Arial" w:eastAsia="Arial" w:hAnsi="Arial" w:cs="Arial"/>
          <w:color w:val="010000"/>
          <w:sz w:val="20"/>
          <w:szCs w:val="20"/>
        </w:rPr>
      </w:pPr>
      <w:r w:rsidRPr="00540CA8">
        <w:rPr>
          <w:rFonts w:ascii="Arial" w:hAnsi="Arial" w:cs="Arial"/>
          <w:color w:val="010000"/>
          <w:sz w:val="20"/>
        </w:rPr>
        <w:t>Quantity/volume: According to the work plan in 2024 and arising plans (if any).</w:t>
      </w:r>
    </w:p>
    <w:p w14:paraId="0000000A" w14:textId="77777777" w:rsidR="00527BCD" w:rsidRPr="00540CA8" w:rsidRDefault="007D24D7" w:rsidP="00540CA8">
      <w:pPr>
        <w:numPr>
          <w:ilvl w:val="0"/>
          <w:numId w:val="1"/>
        </w:numPr>
        <w:pBdr>
          <w:top w:val="nil"/>
          <w:left w:val="nil"/>
          <w:bottom w:val="nil"/>
          <w:right w:val="nil"/>
          <w:between w:val="nil"/>
        </w:pBdr>
        <w:spacing w:after="120" w:line="360" w:lineRule="auto"/>
        <w:ind w:left="0" w:firstLine="0"/>
        <w:rPr>
          <w:rFonts w:ascii="Arial" w:eastAsia="Arial" w:hAnsi="Arial" w:cs="Arial"/>
          <w:color w:val="010000"/>
          <w:sz w:val="20"/>
          <w:szCs w:val="20"/>
        </w:rPr>
      </w:pPr>
      <w:r w:rsidRPr="00540CA8">
        <w:rPr>
          <w:rFonts w:ascii="Arial" w:hAnsi="Arial" w:cs="Arial"/>
          <w:color w:val="010000"/>
          <w:sz w:val="20"/>
        </w:rPr>
        <w:t>Total expected value: VND 275,750,000.</w:t>
      </w:r>
    </w:p>
    <w:p w14:paraId="0000000B" w14:textId="1583BFAA" w:rsidR="00527BCD" w:rsidRPr="00540CA8" w:rsidRDefault="007D24D7" w:rsidP="00540CA8">
      <w:pPr>
        <w:numPr>
          <w:ilvl w:val="0"/>
          <w:numId w:val="1"/>
        </w:numPr>
        <w:pBdr>
          <w:top w:val="nil"/>
          <w:left w:val="nil"/>
          <w:bottom w:val="nil"/>
          <w:right w:val="nil"/>
          <w:between w:val="nil"/>
        </w:pBdr>
        <w:spacing w:after="120" w:line="360" w:lineRule="auto"/>
        <w:ind w:left="0" w:firstLine="0"/>
        <w:rPr>
          <w:rFonts w:ascii="Arial" w:eastAsia="Arial" w:hAnsi="Arial" w:cs="Arial"/>
          <w:color w:val="010000"/>
          <w:sz w:val="20"/>
          <w:szCs w:val="20"/>
        </w:rPr>
      </w:pPr>
      <w:r w:rsidRPr="00540CA8">
        <w:rPr>
          <w:rFonts w:ascii="Arial" w:hAnsi="Arial" w:cs="Arial"/>
          <w:color w:val="010000"/>
          <w:sz w:val="20"/>
        </w:rPr>
        <w:t>Arising transaction limit: VND 300,000,000</w:t>
      </w:r>
      <w:r w:rsidR="0049169B" w:rsidRPr="00540CA8">
        <w:rPr>
          <w:rFonts w:ascii="Arial" w:hAnsi="Arial" w:cs="Arial"/>
          <w:color w:val="010000"/>
          <w:sz w:val="20"/>
        </w:rPr>
        <w:t xml:space="preserve"> </w:t>
      </w:r>
      <w:r w:rsidRPr="00540CA8">
        <w:rPr>
          <w:rFonts w:ascii="Arial" w:hAnsi="Arial" w:cs="Arial"/>
          <w:color w:val="010000"/>
          <w:sz w:val="20"/>
        </w:rPr>
        <w:t>In case additional transactions arise and the total transaction value exceeds the limit, the General Manager is responsible for submitting to the Board of Directors for approval.</w:t>
      </w:r>
    </w:p>
    <w:p w14:paraId="0000000C" w14:textId="77777777" w:rsidR="00527BCD" w:rsidRPr="00540CA8" w:rsidRDefault="007D24D7" w:rsidP="00540CA8">
      <w:pPr>
        <w:numPr>
          <w:ilvl w:val="0"/>
          <w:numId w:val="1"/>
        </w:numPr>
        <w:pBdr>
          <w:top w:val="nil"/>
          <w:left w:val="nil"/>
          <w:bottom w:val="nil"/>
          <w:right w:val="nil"/>
          <w:between w:val="nil"/>
        </w:pBdr>
        <w:spacing w:after="120" w:line="360" w:lineRule="auto"/>
        <w:ind w:left="0" w:firstLine="0"/>
        <w:rPr>
          <w:rFonts w:ascii="Arial" w:eastAsia="Arial" w:hAnsi="Arial" w:cs="Arial"/>
          <w:color w:val="010000"/>
          <w:sz w:val="20"/>
          <w:szCs w:val="20"/>
        </w:rPr>
      </w:pPr>
      <w:r w:rsidRPr="00540CA8">
        <w:rPr>
          <w:rFonts w:ascii="Arial" w:hAnsi="Arial" w:cs="Arial"/>
          <w:color w:val="010000"/>
          <w:sz w:val="20"/>
        </w:rPr>
        <w:t>Payment: Payment within 30 days from invoice date/according to mutual agreement.</w:t>
      </w:r>
    </w:p>
    <w:p w14:paraId="0000000D" w14:textId="77777777" w:rsidR="00527BCD" w:rsidRPr="00540CA8" w:rsidRDefault="007D24D7" w:rsidP="00540CA8">
      <w:pPr>
        <w:numPr>
          <w:ilvl w:val="0"/>
          <w:numId w:val="4"/>
        </w:numPr>
        <w:pBdr>
          <w:top w:val="nil"/>
          <w:left w:val="nil"/>
          <w:bottom w:val="nil"/>
          <w:right w:val="nil"/>
          <w:between w:val="nil"/>
        </w:pBdr>
        <w:tabs>
          <w:tab w:val="left" w:pos="669"/>
        </w:tabs>
        <w:spacing w:after="120" w:line="360" w:lineRule="auto"/>
        <w:rPr>
          <w:rFonts w:ascii="Arial" w:eastAsia="Arial" w:hAnsi="Arial" w:cs="Arial"/>
          <w:color w:val="010000"/>
          <w:sz w:val="20"/>
          <w:szCs w:val="20"/>
        </w:rPr>
      </w:pPr>
      <w:r w:rsidRPr="00540CA8">
        <w:rPr>
          <w:rFonts w:ascii="Arial" w:hAnsi="Arial" w:cs="Arial"/>
          <w:color w:val="010000"/>
          <w:sz w:val="20"/>
        </w:rPr>
        <w:t>Service sales transaction for Vietnam Dairy Cow One-Member Company Limited</w:t>
      </w:r>
    </w:p>
    <w:p w14:paraId="0000000E" w14:textId="77777777" w:rsidR="00527BCD" w:rsidRPr="00540CA8" w:rsidRDefault="007D24D7" w:rsidP="00540CA8">
      <w:pPr>
        <w:pBdr>
          <w:top w:val="nil"/>
          <w:left w:val="nil"/>
          <w:bottom w:val="nil"/>
          <w:right w:val="nil"/>
          <w:between w:val="nil"/>
        </w:pBdr>
        <w:spacing w:after="120" w:line="360" w:lineRule="auto"/>
        <w:rPr>
          <w:rFonts w:ascii="Arial" w:eastAsia="Arial" w:hAnsi="Arial" w:cs="Arial"/>
          <w:color w:val="010000"/>
          <w:sz w:val="20"/>
          <w:szCs w:val="20"/>
        </w:rPr>
      </w:pPr>
      <w:r w:rsidRPr="00540CA8">
        <w:rPr>
          <w:rFonts w:ascii="Arial" w:hAnsi="Arial" w:cs="Arial"/>
          <w:color w:val="010000"/>
          <w:sz w:val="20"/>
        </w:rPr>
        <w:t>Subject of transaction and commercial terms:</w:t>
      </w:r>
    </w:p>
    <w:p w14:paraId="0000000F" w14:textId="77777777" w:rsidR="00527BCD" w:rsidRPr="00540CA8" w:rsidRDefault="007D24D7" w:rsidP="00540CA8">
      <w:pPr>
        <w:numPr>
          <w:ilvl w:val="0"/>
          <w:numId w:val="2"/>
        </w:numPr>
        <w:pBdr>
          <w:top w:val="nil"/>
          <w:left w:val="nil"/>
          <w:bottom w:val="nil"/>
          <w:right w:val="nil"/>
          <w:between w:val="nil"/>
        </w:pBdr>
        <w:spacing w:after="120" w:line="360" w:lineRule="auto"/>
        <w:ind w:left="0" w:firstLine="0"/>
        <w:rPr>
          <w:rFonts w:ascii="Arial" w:eastAsia="Arial" w:hAnsi="Arial" w:cs="Arial"/>
          <w:color w:val="010000"/>
          <w:sz w:val="20"/>
          <w:szCs w:val="20"/>
        </w:rPr>
      </w:pPr>
      <w:r w:rsidRPr="00540CA8">
        <w:rPr>
          <w:rFonts w:ascii="Arial" w:hAnsi="Arial" w:cs="Arial"/>
          <w:color w:val="010000"/>
          <w:sz w:val="20"/>
        </w:rPr>
        <w:t>Vietnam Dairy Cow One-Member Company Limited</w:t>
      </w:r>
      <w:r w:rsidRPr="00540CA8">
        <w:rPr>
          <w:rFonts w:ascii="Arial" w:hAnsi="Arial" w:cs="Arial"/>
          <w:color w:val="010000"/>
          <w:sz w:val="20"/>
        </w:rPr>
        <w:cr/>
      </w:r>
      <w:r w:rsidRPr="00540CA8">
        <w:rPr>
          <w:rFonts w:ascii="Arial" w:hAnsi="Arial" w:cs="Arial"/>
          <w:color w:val="010000"/>
          <w:sz w:val="20"/>
        </w:rPr>
        <w:br/>
        <w:t>Subject purchases consulting services from VLC</w:t>
      </w:r>
    </w:p>
    <w:p w14:paraId="00000010" w14:textId="77777777" w:rsidR="00527BCD" w:rsidRPr="00540CA8" w:rsidRDefault="007D24D7" w:rsidP="00540CA8">
      <w:pPr>
        <w:numPr>
          <w:ilvl w:val="0"/>
          <w:numId w:val="2"/>
        </w:numPr>
        <w:pBdr>
          <w:top w:val="nil"/>
          <w:left w:val="nil"/>
          <w:bottom w:val="nil"/>
          <w:right w:val="nil"/>
          <w:between w:val="nil"/>
        </w:pBdr>
        <w:spacing w:after="120" w:line="360" w:lineRule="auto"/>
        <w:ind w:left="0" w:firstLine="0"/>
        <w:rPr>
          <w:rFonts w:ascii="Arial" w:eastAsia="Arial" w:hAnsi="Arial" w:cs="Arial"/>
          <w:color w:val="010000"/>
          <w:sz w:val="20"/>
          <w:szCs w:val="20"/>
        </w:rPr>
      </w:pPr>
      <w:r w:rsidRPr="00540CA8">
        <w:rPr>
          <w:rFonts w:ascii="Arial" w:hAnsi="Arial" w:cs="Arial"/>
          <w:color w:val="010000"/>
          <w:sz w:val="20"/>
        </w:rPr>
        <w:t>Unit price: Depends on market price fluctuations and service purchase price at the time of arising</w:t>
      </w:r>
    </w:p>
    <w:p w14:paraId="00000011" w14:textId="77777777" w:rsidR="00527BCD" w:rsidRPr="00540CA8" w:rsidRDefault="007D24D7" w:rsidP="00540CA8">
      <w:pPr>
        <w:numPr>
          <w:ilvl w:val="0"/>
          <w:numId w:val="2"/>
        </w:numPr>
        <w:pBdr>
          <w:top w:val="nil"/>
          <w:left w:val="nil"/>
          <w:bottom w:val="nil"/>
          <w:right w:val="nil"/>
          <w:between w:val="nil"/>
        </w:pBdr>
        <w:spacing w:after="120" w:line="360" w:lineRule="auto"/>
        <w:ind w:left="0" w:firstLine="0"/>
        <w:rPr>
          <w:rFonts w:ascii="Arial" w:eastAsia="Arial" w:hAnsi="Arial" w:cs="Arial"/>
          <w:color w:val="010000"/>
          <w:sz w:val="20"/>
          <w:szCs w:val="20"/>
        </w:rPr>
      </w:pPr>
      <w:r w:rsidRPr="00540CA8">
        <w:rPr>
          <w:rFonts w:ascii="Arial" w:hAnsi="Arial" w:cs="Arial"/>
          <w:color w:val="010000"/>
          <w:sz w:val="20"/>
        </w:rPr>
        <w:t>Quantity/volume: According to the work plan in 2024 and arising plans (if any).</w:t>
      </w:r>
    </w:p>
    <w:p w14:paraId="00000012" w14:textId="77777777" w:rsidR="00527BCD" w:rsidRPr="00540CA8" w:rsidRDefault="007D24D7" w:rsidP="00540CA8">
      <w:pPr>
        <w:numPr>
          <w:ilvl w:val="0"/>
          <w:numId w:val="2"/>
        </w:numPr>
        <w:pBdr>
          <w:top w:val="nil"/>
          <w:left w:val="nil"/>
          <w:bottom w:val="nil"/>
          <w:right w:val="nil"/>
          <w:between w:val="nil"/>
        </w:pBdr>
        <w:spacing w:after="120" w:line="360" w:lineRule="auto"/>
        <w:ind w:left="0" w:firstLine="0"/>
        <w:rPr>
          <w:rFonts w:ascii="Arial" w:eastAsia="Arial" w:hAnsi="Arial" w:cs="Arial"/>
          <w:color w:val="010000"/>
          <w:sz w:val="20"/>
          <w:szCs w:val="20"/>
        </w:rPr>
      </w:pPr>
      <w:r w:rsidRPr="00540CA8">
        <w:rPr>
          <w:rFonts w:ascii="Arial" w:hAnsi="Arial" w:cs="Arial"/>
          <w:color w:val="010000"/>
          <w:sz w:val="20"/>
        </w:rPr>
        <w:t>Total expected value: VND 105,000,000.</w:t>
      </w:r>
    </w:p>
    <w:p w14:paraId="00000013" w14:textId="4E830389" w:rsidR="00527BCD" w:rsidRPr="00540CA8" w:rsidRDefault="007D24D7" w:rsidP="00540CA8">
      <w:pPr>
        <w:numPr>
          <w:ilvl w:val="0"/>
          <w:numId w:val="2"/>
        </w:numPr>
        <w:pBdr>
          <w:top w:val="nil"/>
          <w:left w:val="nil"/>
          <w:bottom w:val="nil"/>
          <w:right w:val="nil"/>
          <w:between w:val="nil"/>
        </w:pBdr>
        <w:spacing w:after="120" w:line="360" w:lineRule="auto"/>
        <w:ind w:left="0" w:firstLine="0"/>
        <w:rPr>
          <w:rFonts w:ascii="Arial" w:eastAsia="Arial" w:hAnsi="Arial" w:cs="Arial"/>
          <w:color w:val="010000"/>
          <w:sz w:val="20"/>
          <w:szCs w:val="20"/>
        </w:rPr>
      </w:pPr>
      <w:r w:rsidRPr="00540CA8">
        <w:rPr>
          <w:rFonts w:ascii="Arial" w:hAnsi="Arial" w:cs="Arial"/>
          <w:color w:val="010000"/>
          <w:sz w:val="20"/>
        </w:rPr>
        <w:t>Arising transaction limit: VND 150,000,000.</w:t>
      </w:r>
      <w:r w:rsidR="0049169B" w:rsidRPr="00540CA8">
        <w:rPr>
          <w:rFonts w:ascii="Arial" w:hAnsi="Arial" w:cs="Arial"/>
          <w:color w:val="010000"/>
          <w:sz w:val="20"/>
        </w:rPr>
        <w:t xml:space="preserve"> </w:t>
      </w:r>
      <w:r w:rsidRPr="00540CA8">
        <w:rPr>
          <w:rFonts w:ascii="Arial" w:hAnsi="Arial" w:cs="Arial"/>
          <w:color w:val="010000"/>
          <w:sz w:val="20"/>
        </w:rPr>
        <w:t>In case additional transactions arise and the total transaction value exceeds the limit, the General Manager is responsible for submitting to the Board of Directors for approval.</w:t>
      </w:r>
    </w:p>
    <w:p w14:paraId="00000014" w14:textId="77777777" w:rsidR="00527BCD" w:rsidRPr="00540CA8" w:rsidRDefault="007D24D7" w:rsidP="00540CA8">
      <w:pPr>
        <w:numPr>
          <w:ilvl w:val="0"/>
          <w:numId w:val="2"/>
        </w:numPr>
        <w:pBdr>
          <w:top w:val="nil"/>
          <w:left w:val="nil"/>
          <w:bottom w:val="nil"/>
          <w:right w:val="nil"/>
          <w:between w:val="nil"/>
        </w:pBdr>
        <w:spacing w:after="120" w:line="360" w:lineRule="auto"/>
        <w:ind w:left="0" w:firstLine="0"/>
        <w:rPr>
          <w:rFonts w:ascii="Arial" w:eastAsia="Arial" w:hAnsi="Arial" w:cs="Arial"/>
          <w:color w:val="010000"/>
          <w:sz w:val="20"/>
          <w:szCs w:val="20"/>
        </w:rPr>
      </w:pPr>
      <w:r w:rsidRPr="00540CA8">
        <w:rPr>
          <w:rFonts w:ascii="Arial" w:hAnsi="Arial" w:cs="Arial"/>
          <w:color w:val="010000"/>
          <w:sz w:val="20"/>
        </w:rPr>
        <w:t>Payment: Payment within 30 days from invoice date/according to mutual agreement.</w:t>
      </w:r>
    </w:p>
    <w:p w14:paraId="00000015" w14:textId="77777777" w:rsidR="00527BCD" w:rsidRPr="00540CA8" w:rsidRDefault="007D24D7" w:rsidP="00540CA8">
      <w:pPr>
        <w:keepNext/>
        <w:numPr>
          <w:ilvl w:val="0"/>
          <w:numId w:val="3"/>
        </w:numPr>
        <w:pBdr>
          <w:top w:val="nil"/>
          <w:left w:val="nil"/>
          <w:bottom w:val="nil"/>
          <w:right w:val="nil"/>
          <w:between w:val="nil"/>
        </w:pBdr>
        <w:tabs>
          <w:tab w:val="left" w:pos="619"/>
        </w:tabs>
        <w:spacing w:after="120" w:line="360" w:lineRule="auto"/>
        <w:rPr>
          <w:rFonts w:ascii="Arial" w:eastAsia="Arial" w:hAnsi="Arial" w:cs="Arial"/>
          <w:color w:val="010000"/>
          <w:sz w:val="20"/>
          <w:szCs w:val="20"/>
        </w:rPr>
      </w:pPr>
      <w:r w:rsidRPr="00540CA8">
        <w:rPr>
          <w:rFonts w:ascii="Arial" w:hAnsi="Arial" w:cs="Arial"/>
          <w:color w:val="010000"/>
          <w:sz w:val="20"/>
        </w:rPr>
        <w:lastRenderedPageBreak/>
        <w:t>Determine the price:</w:t>
      </w:r>
    </w:p>
    <w:p w14:paraId="00000016" w14:textId="77777777" w:rsidR="00527BCD" w:rsidRPr="00540CA8" w:rsidRDefault="007D24D7" w:rsidP="00540CA8">
      <w:pPr>
        <w:pBdr>
          <w:top w:val="nil"/>
          <w:left w:val="nil"/>
          <w:bottom w:val="nil"/>
          <w:right w:val="nil"/>
          <w:between w:val="nil"/>
        </w:pBdr>
        <w:spacing w:after="120" w:line="360" w:lineRule="auto"/>
        <w:rPr>
          <w:rFonts w:ascii="Arial" w:eastAsia="Arial" w:hAnsi="Arial" w:cs="Arial"/>
          <w:color w:val="010000"/>
          <w:sz w:val="20"/>
          <w:szCs w:val="20"/>
        </w:rPr>
      </w:pPr>
      <w:r w:rsidRPr="00540CA8">
        <w:rPr>
          <w:rFonts w:ascii="Arial" w:hAnsi="Arial" w:cs="Arial"/>
          <w:color w:val="010000"/>
          <w:sz w:val="20"/>
        </w:rPr>
        <w:t>Selling price of consulting services = Invoice for travel and accommodation services from the supplier + business trip expenses + management expenses</w:t>
      </w:r>
    </w:p>
    <w:p w14:paraId="00000017" w14:textId="77777777" w:rsidR="00527BCD" w:rsidRPr="00540CA8" w:rsidRDefault="007D24D7" w:rsidP="00540CA8">
      <w:pPr>
        <w:numPr>
          <w:ilvl w:val="0"/>
          <w:numId w:val="3"/>
        </w:numPr>
        <w:pBdr>
          <w:top w:val="nil"/>
          <w:left w:val="nil"/>
          <w:bottom w:val="nil"/>
          <w:right w:val="nil"/>
          <w:between w:val="nil"/>
        </w:pBdr>
        <w:tabs>
          <w:tab w:val="left" w:pos="619"/>
        </w:tabs>
        <w:spacing w:after="120" w:line="360" w:lineRule="auto"/>
        <w:rPr>
          <w:rFonts w:ascii="Arial" w:eastAsia="Arial" w:hAnsi="Arial" w:cs="Arial"/>
          <w:color w:val="010000"/>
          <w:sz w:val="20"/>
          <w:szCs w:val="20"/>
        </w:rPr>
      </w:pPr>
      <w:r w:rsidRPr="00540CA8">
        <w:rPr>
          <w:rFonts w:ascii="Arial" w:hAnsi="Arial" w:cs="Arial"/>
          <w:color w:val="010000"/>
          <w:sz w:val="20"/>
        </w:rPr>
        <w:t>Comparison method to determine market price: Method of comparing profit rates</w:t>
      </w:r>
    </w:p>
    <w:p w14:paraId="00000018" w14:textId="77777777" w:rsidR="00527BCD" w:rsidRPr="00540CA8" w:rsidRDefault="007D24D7" w:rsidP="00540CA8">
      <w:pPr>
        <w:numPr>
          <w:ilvl w:val="0"/>
          <w:numId w:val="3"/>
        </w:numPr>
        <w:pBdr>
          <w:top w:val="nil"/>
          <w:left w:val="nil"/>
          <w:bottom w:val="nil"/>
          <w:right w:val="nil"/>
          <w:between w:val="nil"/>
        </w:pBdr>
        <w:tabs>
          <w:tab w:val="left" w:pos="619"/>
        </w:tabs>
        <w:spacing w:after="120" w:line="360" w:lineRule="auto"/>
        <w:rPr>
          <w:rFonts w:ascii="Arial" w:eastAsia="Arial" w:hAnsi="Arial" w:cs="Arial"/>
          <w:color w:val="010000"/>
          <w:sz w:val="20"/>
          <w:szCs w:val="20"/>
        </w:rPr>
      </w:pPr>
      <w:r w:rsidRPr="00540CA8">
        <w:rPr>
          <w:rFonts w:ascii="Arial" w:hAnsi="Arial" w:cs="Arial"/>
          <w:color w:val="010000"/>
          <w:sz w:val="20"/>
        </w:rPr>
        <w:t>Terms and conditions apply: Approved date until December 31, 2024 or when there is another adjustment instead.</w:t>
      </w:r>
    </w:p>
    <w:p w14:paraId="00000019" w14:textId="77777777" w:rsidR="00527BCD" w:rsidRPr="00540CA8" w:rsidRDefault="007D24D7" w:rsidP="00540CA8">
      <w:pPr>
        <w:pBdr>
          <w:top w:val="nil"/>
          <w:left w:val="nil"/>
          <w:bottom w:val="nil"/>
          <w:right w:val="nil"/>
          <w:between w:val="nil"/>
        </w:pBdr>
        <w:spacing w:after="120" w:line="360" w:lineRule="auto"/>
        <w:rPr>
          <w:rFonts w:ascii="Arial" w:eastAsia="Arial" w:hAnsi="Arial" w:cs="Arial"/>
          <w:color w:val="010000"/>
          <w:sz w:val="20"/>
          <w:szCs w:val="20"/>
        </w:rPr>
      </w:pPr>
      <w:r w:rsidRPr="00540CA8">
        <w:rPr>
          <w:rFonts w:ascii="Arial" w:hAnsi="Arial" w:cs="Arial"/>
          <w:color w:val="010000"/>
          <w:sz w:val="20"/>
        </w:rPr>
        <w:t>‎‎Article 2. Assign the General Manager of the Company to decide on the detailed contents of the Contract, approve each transaction arising within the approved limit and validity period, and sign documents related to the transaction. This Resolution takes effect from the date of its signing.</w:t>
      </w:r>
      <w:bookmarkEnd w:id="0"/>
    </w:p>
    <w:sectPr w:rsidR="00527BCD" w:rsidRPr="00540CA8" w:rsidSect="00540CA8">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906E1"/>
    <w:multiLevelType w:val="multilevel"/>
    <w:tmpl w:val="BDF4BFCA"/>
    <w:lvl w:ilvl="0">
      <w:start w:val="1"/>
      <w:numFmt w:val="decimal"/>
      <w:lvlText w:val="1.%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F8F380B"/>
    <w:multiLevelType w:val="multilevel"/>
    <w:tmpl w:val="B2782390"/>
    <w:lvl w:ilvl="0">
      <w:start w:val="1"/>
      <w:numFmt w:val="lowerLetter"/>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5C403BE7"/>
    <w:multiLevelType w:val="hybridMultilevel"/>
    <w:tmpl w:val="772C4004"/>
    <w:lvl w:ilvl="0" w:tplc="930E0218">
      <w:start w:val="1"/>
      <w:numFmt w:val="bullet"/>
      <w:lvlText w:val="o"/>
      <w:lvlJc w:val="left"/>
      <w:pPr>
        <w:ind w:left="720" w:hanging="360"/>
      </w:pPr>
      <w:rPr>
        <w:rFonts w:ascii="Courier New" w:hAnsi="Courier New" w:cs="Courier New" w:hint="default"/>
        <w:b w:val="0"/>
        <w:i w:val="0"/>
        <w:sz w:val="20"/>
      </w:rPr>
    </w:lvl>
    <w:lvl w:ilvl="1" w:tplc="76DAE3A4" w:tentative="1">
      <w:start w:val="1"/>
      <w:numFmt w:val="bullet"/>
      <w:lvlText w:val="o"/>
      <w:lvlJc w:val="left"/>
      <w:pPr>
        <w:ind w:left="1440" w:hanging="360"/>
      </w:pPr>
      <w:rPr>
        <w:rFonts w:ascii="Courier New" w:hAnsi="Courier New" w:cs="Courier New" w:hint="default"/>
        <w:b w:val="0"/>
        <w:i w:val="0"/>
        <w:sz w:val="20"/>
      </w:rPr>
    </w:lvl>
    <w:lvl w:ilvl="2" w:tplc="565EDA8C" w:tentative="1">
      <w:start w:val="1"/>
      <w:numFmt w:val="bullet"/>
      <w:lvlText w:val=""/>
      <w:lvlJc w:val="left"/>
      <w:pPr>
        <w:ind w:left="2160" w:hanging="360"/>
      </w:pPr>
      <w:rPr>
        <w:rFonts w:ascii="Wingdings" w:hAnsi="Wingdings" w:hint="default"/>
        <w:b w:val="0"/>
        <w:i w:val="0"/>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EA4EF6"/>
    <w:multiLevelType w:val="multilevel"/>
    <w:tmpl w:val="38322098"/>
    <w:lvl w:ilvl="0">
      <w:start w:val="1"/>
      <w:numFmt w:val="bullet"/>
      <w:lvlText w:val="o"/>
      <w:lvlJc w:val="left"/>
      <w:pPr>
        <w:ind w:left="720" w:hanging="360"/>
      </w:pPr>
      <w:rPr>
        <w:rFonts w:ascii="Courier New" w:eastAsia="Courier New" w:hAnsi="Courier New" w:cs="Courier New"/>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E107AD5"/>
    <w:multiLevelType w:val="multilevel"/>
    <w:tmpl w:val="D3EA312A"/>
    <w:lvl w:ilvl="0">
      <w:start w:val="1"/>
      <w:numFmt w:val="bullet"/>
      <w:lvlText w:val="o"/>
      <w:lvlJc w:val="left"/>
      <w:pPr>
        <w:ind w:left="720" w:hanging="360"/>
      </w:pPr>
      <w:rPr>
        <w:rFonts w:ascii="Courier New" w:eastAsia="Courier New" w:hAnsi="Courier New" w:cs="Courier New"/>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BCD"/>
    <w:rsid w:val="0049169B"/>
    <w:rsid w:val="00527BCD"/>
    <w:rsid w:val="00540CA8"/>
    <w:rsid w:val="007D24D7"/>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DD7F3EE-1C2D-4379-A2C0-53EE63AE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0"/>
      <w:szCs w:val="20"/>
      <w:u w:val="none"/>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20"/>
      <w:szCs w:val="20"/>
      <w:u w:val="none"/>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u w:val="none"/>
    </w:rPr>
  </w:style>
  <w:style w:type="paragraph" w:styleId="BodyText">
    <w:name w:val="Body Text"/>
    <w:basedOn w:val="Normal"/>
    <w:link w:val="BodyTextChar"/>
    <w:qFormat/>
    <w:pPr>
      <w:shd w:val="clear" w:color="auto" w:fill="FFFFFF"/>
      <w:spacing w:line="329" w:lineRule="auto"/>
    </w:pPr>
    <w:rPr>
      <w:rFonts w:ascii="Times New Roman" w:eastAsia="Times New Roman" w:hAnsi="Times New Roman" w:cs="Times New Roman"/>
      <w:sz w:val="20"/>
      <w:szCs w:val="20"/>
    </w:rPr>
  </w:style>
  <w:style w:type="paragraph" w:customStyle="1" w:styleId="Heading21">
    <w:name w:val="Heading #2"/>
    <w:basedOn w:val="Normal"/>
    <w:link w:val="Heading20"/>
    <w:pPr>
      <w:shd w:val="clear" w:color="auto" w:fill="FFFFFF"/>
      <w:spacing w:line="329" w:lineRule="auto"/>
      <w:ind w:left="1030"/>
      <w:outlineLvl w:val="1"/>
    </w:pPr>
    <w:rPr>
      <w:rFonts w:ascii="Times New Roman" w:eastAsia="Times New Roman" w:hAnsi="Times New Roman" w:cs="Times New Roman"/>
      <w:b/>
      <w:bCs/>
      <w:sz w:val="20"/>
      <w:szCs w:val="20"/>
    </w:rPr>
  </w:style>
  <w:style w:type="paragraph" w:customStyle="1" w:styleId="Heading11">
    <w:name w:val="Heading #1"/>
    <w:basedOn w:val="Normal"/>
    <w:link w:val="Heading10"/>
    <w:pPr>
      <w:shd w:val="clear" w:color="auto" w:fill="FFFFFF"/>
      <w:jc w:val="center"/>
      <w:outlineLvl w:val="0"/>
    </w:pPr>
    <w:rPr>
      <w:rFonts w:ascii="Times New Roman" w:eastAsia="Times New Roman" w:hAnsi="Times New Roman" w:cs="Times New Roman"/>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40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QmZ3noJO7iSSF/FhGAWICUt+Zw==">CgMxLjAyCGguZ2pkZ3hzOAByITFHOHZwUWVjWVZpWjRtNnE1Q21VblNnTGdDMUpkcnBJdA==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2195</Characters>
  <Application>Microsoft Office Word</Application>
  <DocSecurity>0</DocSecurity>
  <Lines>40</Lines>
  <Paragraphs>28</Paragraphs>
  <ScaleCrop>false</ScaleCrop>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2024-05-07T04:35:00Z</dcterms:created>
  <dcterms:modified xsi:type="dcterms:W3CDTF">2024-05-08T02:45:00Z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1e9c4b548101e026f8985bec4d446e8932bd94d29b7657f183f6d1eb59080787</vt:lpwstr>
  </property>
</Properties>
</file>