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47" w:rsidRPr="00D51512" w:rsidRDefault="00D51512" w:rsidP="00D51512">
      <w:pPr>
        <w:pBdr>
          <w:top w:val="nil"/>
          <w:left w:val="nil"/>
          <w:bottom w:val="nil"/>
          <w:right w:val="nil"/>
          <w:between w:val="nil"/>
        </w:pBdr>
        <w:tabs>
          <w:tab w:val="left" w:pos="360"/>
          <w:tab w:val="left" w:pos="5275"/>
        </w:tabs>
        <w:spacing w:after="120" w:line="360" w:lineRule="auto"/>
        <w:rPr>
          <w:b/>
          <w:sz w:val="20"/>
          <w:szCs w:val="20"/>
          <w:rFonts w:ascii="Arial" w:eastAsia="Arial" w:hAnsi="Arial" w:cs="Arial"/>
        </w:rPr>
      </w:pPr>
      <w:r>
        <w:rPr>
          <w:b/>
          <w:sz w:val="20"/>
          <w:rFonts w:ascii="Arial" w:hAnsi="Arial"/>
        </w:rPr>
        <w:t xml:space="preserve">VNA:</w:t>
      </w:r>
      <w:r>
        <w:rPr>
          <w:b/>
          <w:sz w:val="20"/>
          <w:rFonts w:ascii="Arial" w:hAnsi="Arial"/>
        </w:rPr>
        <w:t xml:space="preserve"> </w:t>
      </w:r>
      <w:r>
        <w:rPr>
          <w:b/>
          <w:sz w:val="20"/>
          <w:rFonts w:ascii="Arial" w:hAnsi="Arial"/>
        </w:rPr>
        <w:t xml:space="preserve">Annual General Mandate 2024</w:t>
      </w:r>
    </w:p>
    <w:p w:rsidR="00142D47" w:rsidRPr="00D51512" w:rsidRDefault="00D51512" w:rsidP="00D51512">
      <w:pPr>
        <w:pBdr>
          <w:top w:val="nil"/>
          <w:left w:val="nil"/>
          <w:bottom w:val="nil"/>
          <w:right w:val="nil"/>
          <w:between w:val="nil"/>
        </w:pBdr>
        <w:tabs>
          <w:tab w:val="left" w:pos="360"/>
          <w:tab w:val="left" w:pos="5275"/>
        </w:tabs>
        <w:spacing w:after="120" w:line="360" w:lineRule="auto"/>
        <w:rPr>
          <w:sz w:val="20"/>
          <w:szCs w:val="20"/>
          <w:rFonts w:ascii="Arial" w:eastAsia="Arial" w:hAnsi="Arial" w:cs="Arial"/>
        </w:rPr>
      </w:pPr>
      <w:r>
        <w:rPr>
          <w:sz w:val="20"/>
          <w:rFonts w:ascii="Arial" w:hAnsi="Arial"/>
        </w:rPr>
        <w:t xml:space="preserve">On April 26, 2024, Vinaship Joint Stock Company announced General Mandate No. 07/2024/NQ-DHDCD as follows:</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1.</w:t>
      </w:r>
      <w:r>
        <w:rPr>
          <w:sz w:val="20"/>
          <w:rFonts w:ascii="Arial" w:hAnsi="Arial"/>
        </w:rPr>
        <w:t xml:space="preserve"> </w:t>
      </w:r>
      <w:r>
        <w:rPr>
          <w:sz w:val="20"/>
          <w:rFonts w:ascii="Arial" w:hAnsi="Arial"/>
        </w:rPr>
        <w:t xml:space="preserve">Approve the reports of the Board of Directors, Supervisory Board, and Executive Board for 2023.</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2.</w:t>
      </w:r>
      <w:r>
        <w:rPr>
          <w:sz w:val="20"/>
          <w:rFonts w:ascii="Arial" w:hAnsi="Arial"/>
        </w:rPr>
        <w:t xml:space="preserve"> </w:t>
      </w:r>
      <w:r>
        <w:rPr>
          <w:sz w:val="20"/>
          <w:rFonts w:ascii="Arial" w:hAnsi="Arial"/>
        </w:rPr>
        <w:t xml:space="preserve">Approve the Audited Financial Statements in 2023.</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3.</w:t>
      </w:r>
      <w:r>
        <w:rPr>
          <w:sz w:val="20"/>
          <w:rFonts w:ascii="Arial" w:hAnsi="Arial"/>
        </w:rPr>
        <w:t xml:space="preserve"> </w:t>
      </w:r>
      <w:r>
        <w:rPr>
          <w:sz w:val="20"/>
          <w:rFonts w:ascii="Arial" w:hAnsi="Arial"/>
        </w:rPr>
        <w:t xml:space="preserve">Approve the production and business results, salary fund, remuneration of the Board of Directors and Supervisory Board in 2023; specifically as follows:</w:t>
      </w:r>
    </w:p>
    <w:p w:rsidR="00142D47" w:rsidRPr="00D51512" w:rsidRDefault="00D51512" w:rsidP="00D51512">
      <w:pPr>
        <w:numPr>
          <w:ilvl w:val="0"/>
          <w:numId w:val="9"/>
        </w:numPr>
        <w:pBdr>
          <w:top w:val="nil"/>
          <w:left w:val="nil"/>
          <w:bottom w:val="nil"/>
          <w:right w:val="nil"/>
          <w:between w:val="nil"/>
        </w:pBdr>
        <w:tabs>
          <w:tab w:val="left" w:pos="360"/>
          <w:tab w:val="left" w:pos="864"/>
        </w:tabs>
        <w:spacing w:after="120" w:line="360" w:lineRule="auto"/>
        <w:rPr>
          <w:sz w:val="20"/>
          <w:szCs w:val="20"/>
          <w:rFonts w:ascii="Arial" w:eastAsia="Arial" w:hAnsi="Arial" w:cs="Arial"/>
        </w:rPr>
      </w:pPr>
      <w:r>
        <w:rPr>
          <w:sz w:val="20"/>
          <w:rFonts w:ascii="Arial" w:hAnsi="Arial"/>
        </w:rPr>
        <w:t xml:space="preserve">Production and business results</w:t>
      </w:r>
    </w:p>
    <w:p w:rsidR="00142D47" w:rsidRPr="00D51512" w:rsidRDefault="00D51512" w:rsidP="00D51512">
      <w:pPr>
        <w:numPr>
          <w:ilvl w:val="0"/>
          <w:numId w:val="8"/>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Transport volume: </w:t>
      </w:r>
      <w:r>
        <w:rPr>
          <w:sz w:val="20"/>
          <w:rFonts w:ascii="Arial" w:hAnsi="Arial"/>
        </w:rPr>
        <w:t xml:space="preserve"> </w:t>
      </w:r>
      <w:r>
        <w:rPr>
          <w:sz w:val="20"/>
          <w:rFonts w:ascii="Arial" w:hAnsi="Arial"/>
        </w:rPr>
        <w:t xml:space="preserve">1,743,319 tons</w:t>
      </w:r>
    </w:p>
    <w:p w:rsidR="00142D47" w:rsidRPr="00D51512" w:rsidRDefault="007C589B" w:rsidP="00D51512">
      <w:pPr>
        <w:numPr>
          <w:ilvl w:val="0"/>
          <w:numId w:val="8"/>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Total revenue</w:t>
      </w:r>
      <w:r>
        <w:rPr>
          <w:sz w:val="20"/>
          <w:rFonts w:ascii="Arial" w:hAnsi="Arial"/>
        </w:rPr>
        <w:t xml:space="preserve"> </w:t>
      </w:r>
      <w:r>
        <w:rPr>
          <w:sz w:val="20"/>
          <w:rFonts w:ascii="Arial" w:hAnsi="Arial"/>
        </w:rPr>
        <w:t xml:space="preserve">VND 673,976,000,000</w:t>
      </w:r>
    </w:p>
    <w:p w:rsidR="00142D47" w:rsidRPr="00D51512" w:rsidRDefault="00D51512" w:rsidP="00D51512">
      <w:pPr>
        <w:numPr>
          <w:ilvl w:val="0"/>
          <w:numId w:val="8"/>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Profit before tax:</w:t>
      </w:r>
      <w:r>
        <w:rPr>
          <w:sz w:val="20"/>
          <w:rFonts w:ascii="Arial" w:hAnsi="Arial"/>
        </w:rPr>
        <w:t xml:space="preserve"> </w:t>
      </w:r>
      <w:r>
        <w:rPr>
          <w:sz w:val="20"/>
          <w:rFonts w:ascii="Arial" w:hAnsi="Arial"/>
        </w:rPr>
        <w:t xml:space="preserve">VND 45,125,000,000</w:t>
      </w:r>
    </w:p>
    <w:p w:rsidR="00142D47" w:rsidRPr="00D51512" w:rsidRDefault="00D51512" w:rsidP="00D51512">
      <w:pPr>
        <w:numPr>
          <w:ilvl w:val="0"/>
          <w:numId w:val="9"/>
        </w:numPr>
        <w:pBdr>
          <w:top w:val="nil"/>
          <w:left w:val="nil"/>
          <w:bottom w:val="nil"/>
          <w:right w:val="nil"/>
          <w:between w:val="nil"/>
        </w:pBdr>
        <w:tabs>
          <w:tab w:val="left" w:pos="360"/>
          <w:tab w:val="left" w:pos="900"/>
        </w:tabs>
        <w:spacing w:after="120" w:line="360" w:lineRule="auto"/>
        <w:rPr>
          <w:sz w:val="20"/>
          <w:szCs w:val="20"/>
          <w:rFonts w:ascii="Arial" w:eastAsia="Arial" w:hAnsi="Arial" w:cs="Arial"/>
        </w:rPr>
      </w:pPr>
      <w:r>
        <w:rPr>
          <w:sz w:val="20"/>
          <w:rFonts w:ascii="Arial" w:hAnsi="Arial"/>
        </w:rPr>
        <w:t xml:space="preserve">Salary of the executive Chair of the Board of Directors (for 6 months):</w:t>
      </w:r>
    </w:p>
    <w:p w:rsidR="00142D47" w:rsidRPr="00D51512" w:rsidRDefault="00D51512" w:rsidP="00D51512">
      <w:pPr>
        <w:numPr>
          <w:ilvl w:val="0"/>
          <w:numId w:val="6"/>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Realized salary fund:</w:t>
      </w:r>
      <w:r>
        <w:rPr>
          <w:sz w:val="20"/>
          <w:rFonts w:ascii="Arial" w:hAnsi="Arial"/>
        </w:rPr>
        <w:t xml:space="preserve"> </w:t>
      </w:r>
      <w:r>
        <w:rPr>
          <w:sz w:val="20"/>
          <w:rFonts w:ascii="Arial" w:hAnsi="Arial"/>
        </w:rPr>
        <w:t xml:space="preserve">VND 367.48 million;</w:t>
      </w:r>
    </w:p>
    <w:p w:rsidR="00142D47" w:rsidRPr="00D51512" w:rsidRDefault="00D51512" w:rsidP="00D51512">
      <w:pPr>
        <w:numPr>
          <w:ilvl w:val="0"/>
          <w:numId w:val="6"/>
        </w:numPr>
        <w:pBdr>
          <w:top w:val="nil"/>
          <w:left w:val="nil"/>
          <w:bottom w:val="nil"/>
          <w:right w:val="nil"/>
          <w:between w:val="nil"/>
        </w:pBdr>
        <w:tabs>
          <w:tab w:val="left" w:pos="360"/>
        </w:tabs>
        <w:spacing w:after="120" w:line="360" w:lineRule="auto"/>
        <w:ind w:left="0" w:firstLine="0"/>
        <w:sectPr w:rsidR="00142D47" w:rsidRPr="00D51512" w:rsidSect="00D51512">
          <w:pgSz w:w="11906" w:h="16838"/>
          <w:pgMar w:top="1440" w:right="1440" w:bottom="1440" w:left="1440" w:header="0" w:footer="3" w:gutter="0"/>
          <w:pgNumType w:start="1"/>
          <w:cols w:space="720"/>
          <w:docGrid w:linePitch="326"/>
        </w:sectPr>
        <w:rPr>
          <w:sz w:val="20"/>
          <w:szCs w:val="20"/>
          <w:rFonts w:ascii="Arial" w:eastAsia="Arial" w:hAnsi="Arial" w:cs="Arial"/>
        </w:rPr>
      </w:pPr>
      <w:r>
        <w:rPr>
          <w:sz w:val="20"/>
          <w:rFonts w:ascii="Arial" w:hAnsi="Arial"/>
        </w:rPr>
        <w:t xml:space="preserve">Average salary:</w:t>
      </w:r>
      <w:r>
        <w:rPr>
          <w:sz w:val="20"/>
          <w:rFonts w:ascii="Arial" w:hAnsi="Arial"/>
        </w:rPr>
        <w:t xml:space="preserve"> </w:t>
      </w:r>
      <w:r>
        <w:rPr>
          <w:sz w:val="20"/>
          <w:rFonts w:ascii="Arial" w:hAnsi="Arial"/>
        </w:rPr>
        <w:t xml:space="preserve">VND 61.246 million/month</w:t>
      </w:r>
    </w:p>
    <w:p w:rsidR="00142D47" w:rsidRPr="00D51512" w:rsidRDefault="00D51512" w:rsidP="00D51512">
      <w:pPr>
        <w:numPr>
          <w:ilvl w:val="0"/>
          <w:numId w:val="9"/>
        </w:numPr>
        <w:pBdr>
          <w:top w:val="nil"/>
          <w:left w:val="nil"/>
          <w:bottom w:val="nil"/>
          <w:right w:val="nil"/>
          <w:between w:val="nil"/>
        </w:pBdr>
        <w:tabs>
          <w:tab w:val="left" w:pos="360"/>
          <w:tab w:val="left" w:pos="945"/>
        </w:tabs>
        <w:spacing w:after="120" w:line="360" w:lineRule="auto"/>
        <w:rPr>
          <w:sz w:val="20"/>
          <w:szCs w:val="20"/>
          <w:rFonts w:ascii="Arial" w:eastAsia="Arial" w:hAnsi="Arial" w:cs="Arial"/>
        </w:rPr>
      </w:pPr>
      <w:r>
        <w:rPr>
          <w:sz w:val="20"/>
          <w:rFonts w:ascii="Arial" w:hAnsi="Arial"/>
        </w:rPr>
        <w:t xml:space="preserve">Remuneration of the Board of Directors and Supervisory Board approved by the Annual General Meeting of Shareholders in 2023 is as follows:</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Chair of the Board of Directors:</w:t>
      </w:r>
      <w:r>
        <w:rPr>
          <w:sz w:val="20"/>
          <w:rFonts w:ascii="Arial" w:hAnsi="Arial"/>
        </w:rPr>
        <w:t xml:space="preserve"> </w:t>
      </w:r>
      <w:r>
        <w:rPr>
          <w:sz w:val="20"/>
          <w:rFonts w:ascii="Arial" w:hAnsi="Arial"/>
        </w:rPr>
        <w:t xml:space="preserve">VND 5,000,000/month</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Deputy Chair of the Board of Directors:</w:t>
      </w:r>
      <w:r>
        <w:rPr>
          <w:sz w:val="20"/>
          <w:rFonts w:ascii="Arial" w:hAnsi="Arial"/>
        </w:rPr>
        <w:t xml:space="preserve"> </w:t>
      </w:r>
      <w:r>
        <w:rPr>
          <w:sz w:val="20"/>
          <w:rFonts w:ascii="Arial" w:hAnsi="Arial"/>
        </w:rPr>
        <w:t xml:space="preserve">VND 4,000,000/month</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Member of the Board of Directors</w:t>
      </w:r>
      <w:r>
        <w:rPr>
          <w:sz w:val="20"/>
          <w:rFonts w:ascii="Arial" w:hAnsi="Arial"/>
        </w:rPr>
        <w:t xml:space="preserve"> </w:t>
      </w:r>
      <w:r>
        <w:rPr>
          <w:sz w:val="20"/>
          <w:rFonts w:ascii="Arial" w:hAnsi="Arial"/>
        </w:rPr>
        <w:t xml:space="preserve">VND 4,000,000/person/month</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Chief of the Supervisory Board</w:t>
      </w:r>
      <w:r>
        <w:rPr>
          <w:sz w:val="20"/>
          <w:rFonts w:ascii="Arial" w:hAnsi="Arial"/>
        </w:rPr>
        <w:t xml:space="preserve"> </w:t>
      </w:r>
      <w:r>
        <w:rPr>
          <w:sz w:val="20"/>
          <w:rFonts w:ascii="Arial" w:hAnsi="Arial"/>
        </w:rPr>
        <w:t xml:space="preserve">VND 4,000,000 per month.</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Member of the Supervisory Board</w:t>
      </w:r>
      <w:r>
        <w:rPr>
          <w:sz w:val="20"/>
          <w:rFonts w:ascii="Arial" w:hAnsi="Arial"/>
        </w:rPr>
        <w:t xml:space="preserve"> </w:t>
      </w:r>
      <w:r>
        <w:rPr>
          <w:sz w:val="20"/>
          <w:rFonts w:ascii="Arial" w:hAnsi="Arial"/>
        </w:rPr>
        <w:t xml:space="preserve">VND 3,000,000/person/month;</w:t>
      </w:r>
    </w:p>
    <w:p w:rsidR="00142D47" w:rsidRPr="00D51512" w:rsidRDefault="00D51512" w:rsidP="00D51512">
      <w:pPr>
        <w:numPr>
          <w:ilvl w:val="0"/>
          <w:numId w:val="4"/>
        </w:numPr>
        <w:pBdr>
          <w:top w:val="nil"/>
          <w:left w:val="nil"/>
          <w:bottom w:val="nil"/>
          <w:right w:val="nil"/>
          <w:between w:val="nil"/>
        </w:pBdr>
        <w:tabs>
          <w:tab w:val="left" w:pos="360"/>
        </w:tabs>
        <w:spacing w:after="120" w:line="360" w:lineRule="auto"/>
        <w:ind w:left="0" w:firstLine="0"/>
        <w:sectPr w:rsidR="00142D47" w:rsidRPr="00D51512" w:rsidSect="00D51512">
          <w:type w:val="continuous"/>
          <w:pgSz w:w="11906" w:h="16838"/>
          <w:pgMar w:top="1440" w:right="1440" w:bottom="1440" w:left="1440" w:header="0" w:footer="3" w:gutter="0"/>
          <w:cols w:space="720"/>
          <w:docGrid w:linePitch="326"/>
        </w:sectPr>
        <w:rPr>
          <w:sz w:val="20"/>
          <w:szCs w:val="20"/>
          <w:rFonts w:ascii="Arial" w:eastAsia="Arial" w:hAnsi="Arial" w:cs="Arial"/>
        </w:rPr>
      </w:pPr>
      <w:r>
        <w:rPr>
          <w:sz w:val="20"/>
          <w:rFonts w:ascii="Arial" w:hAnsi="Arial"/>
        </w:rPr>
        <w:t xml:space="preserve">Person in charge of corporate governance:</w:t>
      </w:r>
      <w:r>
        <w:rPr>
          <w:sz w:val="20"/>
          <w:rFonts w:ascii="Arial" w:hAnsi="Arial"/>
        </w:rPr>
        <w:t xml:space="preserve"> </w:t>
      </w:r>
      <w:r>
        <w:rPr>
          <w:sz w:val="20"/>
          <w:rFonts w:ascii="Arial" w:hAnsi="Arial"/>
        </w:rPr>
        <w:t xml:space="preserve">VND 2,000,000 per month.</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Total:</w:t>
      </w:r>
      <w:r>
        <w:rPr>
          <w:sz w:val="20"/>
          <w:rFonts w:ascii="Arial" w:hAnsi="Arial"/>
        </w:rPr>
        <w:t xml:space="preserve"> </w:t>
      </w:r>
      <w:r>
        <w:rPr>
          <w:sz w:val="20"/>
          <w:rFonts w:ascii="Arial" w:hAnsi="Arial"/>
        </w:rPr>
        <w:t xml:space="preserve">VND 330,000,000 (excluding the person in charge of corporate governance)</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Average remuneration:</w:t>
      </w:r>
      <w:r>
        <w:rPr>
          <w:sz w:val="20"/>
          <w:rFonts w:ascii="Arial" w:hAnsi="Arial"/>
        </w:rPr>
        <w:t xml:space="preserve"> </w:t>
      </w:r>
      <w:r>
        <w:rPr>
          <w:sz w:val="20"/>
          <w:rFonts w:ascii="Arial" w:hAnsi="Arial"/>
        </w:rPr>
        <w:t xml:space="preserve">VND 3,793,103/person/month.</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4.</w:t>
      </w:r>
      <w:r>
        <w:rPr>
          <w:sz w:val="20"/>
          <w:rFonts w:ascii="Arial" w:hAnsi="Arial"/>
        </w:rPr>
        <w:t xml:space="preserve"> </w:t>
      </w:r>
      <w:r>
        <w:rPr>
          <w:sz w:val="20"/>
          <w:rFonts w:ascii="Arial" w:hAnsi="Arial"/>
        </w:rPr>
        <w:t xml:space="preserve">Approve the profit distribution plan for 2022 and 2023 to be implemented in 2024 of the holding company; specifically as follows:</w:t>
      </w:r>
    </w:p>
    <w:p w:rsidR="00142D47" w:rsidRPr="00D51512" w:rsidRDefault="00D51512" w:rsidP="00D51512">
      <w:pPr>
        <w:numPr>
          <w:ilvl w:val="0"/>
          <w:numId w:val="10"/>
        </w:numPr>
        <w:pBdr>
          <w:top w:val="nil"/>
          <w:left w:val="nil"/>
          <w:bottom w:val="nil"/>
          <w:right w:val="nil"/>
          <w:between w:val="nil"/>
        </w:pBdr>
        <w:tabs>
          <w:tab w:val="left" w:pos="360"/>
          <w:tab w:val="left" w:pos="1184"/>
        </w:tabs>
        <w:spacing w:after="120" w:line="360" w:lineRule="auto"/>
        <w:rPr>
          <w:sz w:val="20"/>
          <w:szCs w:val="20"/>
          <w:rFonts w:ascii="Arial" w:eastAsia="Arial" w:hAnsi="Arial" w:cs="Arial"/>
        </w:rPr>
      </w:pPr>
      <w:r>
        <w:rPr>
          <w:sz w:val="20"/>
          <w:rFonts w:ascii="Arial" w:hAnsi="Arial"/>
        </w:rPr>
        <w:t xml:space="preserve">Profit distribution in 2023:</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Unit:</w:t>
      </w:r>
      <w:r>
        <w:rPr>
          <w:sz w:val="20"/>
          <w:rFonts w:ascii="Arial" w:hAnsi="Arial"/>
        </w:rPr>
        <w:t xml:space="preserve"> </w:t>
      </w:r>
      <w:r>
        <w:rPr>
          <w:sz w:val="20"/>
          <w:rFonts w:ascii="Arial" w:hAnsi="Arial"/>
        </w:rPr>
        <w:t xml:space="preserve">VND</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890"/>
        <w:gridCol w:w="1183"/>
        <w:gridCol w:w="2011"/>
      </w:tblGrid>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No.</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Target</w:t>
            </w:r>
          </w:p>
        </w:tc>
        <w:tc>
          <w:tcPr>
            <w:tcW w:w="65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Rate (%)</w:t>
            </w: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Amount</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Profit before tax in 2023</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44,347,870.771</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2</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Corporate income tax expense</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8,927,720,850</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Profit after tax (3=1-2) </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35,420.149,921</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4</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Profit after tax to be distributed (4=3)</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35,420.149,921</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5</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Appropriation for funds</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35,420,149,921</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5.1</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Bonus and welfare fund (of which: 7% bonus, 7% welfare)</w:t>
            </w:r>
            <w:r>
              <w:rPr>
                <w:sz w:val="20"/>
                <w:rFonts w:ascii="Arial" w:hAnsi="Arial"/>
              </w:rPr>
              <w:t xml:space="preserve"> </w:t>
            </w:r>
          </w:p>
        </w:tc>
        <w:tc>
          <w:tcPr>
            <w:tcW w:w="65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14.00%</w:t>
            </w: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4,958,820,989</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5.2</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Appropriation for bonus fund of the managers</w:t>
            </w:r>
          </w:p>
        </w:tc>
        <w:tc>
          <w:tcPr>
            <w:tcW w:w="65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0.50%</w:t>
            </w: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177,100,750</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5.3</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Appropriation for investment and development funds</w:t>
            </w:r>
          </w:p>
        </w:tc>
        <w:tc>
          <w:tcPr>
            <w:tcW w:w="65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85.50%</w:t>
            </w: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30,284,228,182</w:t>
            </w:r>
          </w:p>
        </w:tc>
      </w:tr>
      <w:tr w:rsidR="00142D47" w:rsidRPr="00D51512" w:rsidTr="00D51512">
        <w:tc>
          <w:tcPr>
            <w:tcW w:w="517"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6</w:t>
            </w:r>
          </w:p>
        </w:tc>
        <w:tc>
          <w:tcPr>
            <w:tcW w:w="2712"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Remaining profit after appropriation to funds in 2023 (6=4-5) -</w:t>
            </w:r>
          </w:p>
        </w:tc>
        <w:tc>
          <w:tcPr>
            <w:tcW w:w="656" w:type="pct"/>
            <w:shd w:val="clear" w:color="auto" w:fill="auto"/>
            <w:tcMar>
              <w:top w:w="0" w:type="dxa"/>
              <w:bottom w:w="0" w:type="dxa"/>
            </w:tcMar>
            <w:vAlign w:val="center"/>
          </w:tcPr>
          <w:p w:rsidR="00142D47" w:rsidRPr="00D51512" w:rsidRDefault="00142D47" w:rsidP="00D51512">
            <w:pPr>
              <w:tabs>
                <w:tab w:val="left" w:pos="360"/>
              </w:tabs>
              <w:spacing w:after="120" w:line="360" w:lineRule="auto"/>
              <w:rPr>
                <w:rFonts w:ascii="Arial" w:eastAsia="Arial" w:hAnsi="Arial" w:cs="Arial"/>
                <w:sz w:val="20"/>
                <w:szCs w:val="20"/>
              </w:rPr>
            </w:pPr>
          </w:p>
        </w:tc>
        <w:tc>
          <w:tcPr>
            <w:tcW w:w="111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w:t>
            </w:r>
          </w:p>
        </w:tc>
      </w:tr>
    </w:tbl>
    <w:p w:rsidR="00142D47" w:rsidRPr="00D51512" w:rsidRDefault="00D51512" w:rsidP="00D51512">
      <w:pPr>
        <w:numPr>
          <w:ilvl w:val="0"/>
          <w:numId w:val="10"/>
        </w:numPr>
        <w:pBdr>
          <w:top w:val="nil"/>
          <w:left w:val="nil"/>
          <w:bottom w:val="nil"/>
          <w:right w:val="nil"/>
          <w:between w:val="nil"/>
        </w:pBdr>
        <w:tabs>
          <w:tab w:val="left" w:pos="360"/>
          <w:tab w:val="left" w:pos="1220"/>
        </w:tabs>
        <w:spacing w:after="120" w:line="360" w:lineRule="auto"/>
        <w:rPr>
          <w:sz w:val="20"/>
          <w:szCs w:val="20"/>
          <w:rFonts w:ascii="Arial" w:eastAsia="Arial" w:hAnsi="Arial" w:cs="Arial"/>
        </w:rPr>
      </w:pPr>
      <w:r>
        <w:rPr>
          <w:sz w:val="20"/>
          <w:rFonts w:ascii="Arial" w:hAnsi="Arial"/>
        </w:rPr>
        <w:t xml:space="preserve">Distribution of remaining undistributed profit in 2022:</w:t>
      </w:r>
    </w:p>
    <w:p w:rsidR="00142D47" w:rsidRPr="00D51512" w:rsidRDefault="00D51512" w:rsidP="00D51512">
      <w:pPr>
        <w:pBdr>
          <w:top w:val="nil"/>
          <w:left w:val="nil"/>
          <w:bottom w:val="nil"/>
          <w:right w:val="nil"/>
          <w:between w:val="nil"/>
        </w:pBdr>
        <w:tabs>
          <w:tab w:val="left" w:pos="360"/>
          <w:tab w:val="left" w:pos="1130"/>
        </w:tabs>
        <w:spacing w:after="120" w:line="360" w:lineRule="auto"/>
        <w:rPr>
          <w:sz w:val="20"/>
          <w:szCs w:val="20"/>
          <w:rFonts w:ascii="Arial" w:eastAsia="Arial" w:hAnsi="Arial" w:cs="Arial"/>
        </w:rPr>
      </w:pPr>
      <w:r>
        <w:rPr>
          <w:sz w:val="20"/>
          <w:rFonts w:ascii="Arial" w:hAnsi="Arial"/>
        </w:rPr>
        <w:t xml:space="preserve">Unit</w:t>
      </w:r>
      <w:r>
        <w:rPr>
          <w:sz w:val="20"/>
          <w:rFonts w:ascii="Arial" w:hAnsi="Arial"/>
        </w:rPr>
        <w:t xml:space="preserve"> </w:t>
      </w:r>
      <w:r>
        <w:rPr>
          <w:sz w:val="20"/>
          <w:rFonts w:ascii="Arial" w:hAnsi="Arial"/>
        </w:rPr>
        <w:t xml:space="preserve">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
        <w:gridCol w:w="5574"/>
        <w:gridCol w:w="2517"/>
      </w:tblGrid>
      <w:tr w:rsidR="00142D47" w:rsidRPr="00D51512" w:rsidTr="00D51512">
        <w:tc>
          <w:tcPr>
            <w:tcW w:w="513"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No.</w:t>
            </w:r>
          </w:p>
        </w:tc>
        <w:tc>
          <w:tcPr>
            <w:tcW w:w="3090"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Target</w:t>
            </w:r>
          </w:p>
        </w:tc>
        <w:tc>
          <w:tcPr>
            <w:tcW w:w="139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Amount</w:t>
            </w:r>
          </w:p>
        </w:tc>
      </w:tr>
      <w:tr w:rsidR="00142D47" w:rsidRPr="00D51512" w:rsidTr="00D51512">
        <w:tc>
          <w:tcPr>
            <w:tcW w:w="513"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w:t>
            </w:r>
          </w:p>
        </w:tc>
        <w:tc>
          <w:tcPr>
            <w:tcW w:w="3090"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Undistributed profit balance in 2022 as of December 31, 2023 </w:t>
            </w:r>
          </w:p>
        </w:tc>
        <w:tc>
          <w:tcPr>
            <w:tcW w:w="139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133,722,357,597</w:t>
            </w:r>
          </w:p>
        </w:tc>
      </w:tr>
      <w:tr w:rsidR="00142D47" w:rsidRPr="00D51512" w:rsidTr="00D51512">
        <w:tc>
          <w:tcPr>
            <w:tcW w:w="513"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2</w:t>
            </w:r>
          </w:p>
        </w:tc>
        <w:tc>
          <w:tcPr>
            <w:tcW w:w="3090"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Additional appropriation to Development Investment Fund </w:t>
            </w:r>
          </w:p>
        </w:tc>
        <w:tc>
          <w:tcPr>
            <w:tcW w:w="139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133,722,357,597</w:t>
            </w:r>
          </w:p>
        </w:tc>
      </w:tr>
      <w:tr w:rsidR="00142D47" w:rsidRPr="00D51512" w:rsidTr="00D51512">
        <w:tc>
          <w:tcPr>
            <w:tcW w:w="513"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3</w:t>
            </w:r>
          </w:p>
        </w:tc>
        <w:tc>
          <w:tcPr>
            <w:tcW w:w="3090"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 w:val="left" w:pos="5879"/>
              </w:tabs>
              <w:spacing w:after="120" w:line="360" w:lineRule="auto"/>
              <w:rPr>
                <w:sz w:val="20"/>
                <w:szCs w:val="20"/>
                <w:rFonts w:ascii="Arial" w:eastAsia="Arial" w:hAnsi="Arial" w:cs="Arial"/>
              </w:rPr>
            </w:pPr>
            <w:r>
              <w:rPr>
                <w:sz w:val="20"/>
                <w:rFonts w:ascii="Arial" w:hAnsi="Arial"/>
              </w:rPr>
              <w:t xml:space="preserve">Remaining profit in 2022 after distribution </w:t>
            </w:r>
          </w:p>
        </w:tc>
        <w:tc>
          <w:tcPr>
            <w:tcW w:w="1396" w:type="pct"/>
            <w:shd w:val="clear" w:color="auto" w:fill="auto"/>
            <w:tcMar>
              <w:top w:w="0" w:type="dxa"/>
              <w:bottom w:w="0" w:type="dxa"/>
            </w:tcMar>
            <w:vAlign w:val="center"/>
          </w:tcPr>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w:t>
            </w:r>
          </w:p>
        </w:tc>
      </w:tr>
    </w:tbl>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5.</w:t>
      </w:r>
      <w:r>
        <w:rPr>
          <w:sz w:val="20"/>
          <w:rFonts w:ascii="Arial" w:hAnsi="Arial"/>
        </w:rPr>
        <w:t xml:space="preserve"> </w:t>
      </w:r>
      <w:r>
        <w:rPr>
          <w:sz w:val="20"/>
          <w:rFonts w:ascii="Arial" w:hAnsi="Arial"/>
        </w:rPr>
        <w:t xml:space="preserve">Approve the plan for 2024; including the following specific contents:</w:t>
      </w:r>
    </w:p>
    <w:p w:rsidR="00142D47" w:rsidRPr="00D51512" w:rsidRDefault="00D51512" w:rsidP="00D51512">
      <w:pPr>
        <w:numPr>
          <w:ilvl w:val="0"/>
          <w:numId w:val="1"/>
        </w:numPr>
        <w:pBdr>
          <w:top w:val="nil"/>
          <w:left w:val="nil"/>
          <w:bottom w:val="nil"/>
          <w:right w:val="nil"/>
          <w:between w:val="nil"/>
        </w:pBdr>
        <w:tabs>
          <w:tab w:val="left" w:pos="360"/>
          <w:tab w:val="left" w:pos="880"/>
        </w:tabs>
        <w:spacing w:after="120" w:line="360" w:lineRule="auto"/>
        <w:rPr>
          <w:sz w:val="20"/>
          <w:szCs w:val="20"/>
          <w:rFonts w:ascii="Arial" w:eastAsia="Arial" w:hAnsi="Arial" w:cs="Arial"/>
        </w:rPr>
      </w:pPr>
      <w:r>
        <w:rPr>
          <w:sz w:val="20"/>
          <w:rFonts w:ascii="Arial" w:hAnsi="Arial"/>
        </w:rPr>
        <w:t xml:space="preserve">Production and business plan for 2024:</w:t>
      </w:r>
    </w:p>
    <w:p w:rsidR="00142D47" w:rsidRPr="00D51512" w:rsidRDefault="007C589B" w:rsidP="00D51512">
      <w:pPr>
        <w:pStyle w:val="ListParagraph"/>
        <w:numPr>
          <w:ilvl w:val="0"/>
          <w:numId w:val="11"/>
        </w:numPr>
        <w:pBdr>
          <w:top w:val="nil"/>
          <w:left w:val="nil"/>
          <w:bottom w:val="nil"/>
          <w:right w:val="nil"/>
          <w:between w:val="nil"/>
        </w:pBdr>
        <w:tabs>
          <w:tab w:val="left" w:pos="360"/>
          <w:tab w:val="left" w:pos="4924"/>
        </w:tabs>
        <w:spacing w:after="120" w:line="360" w:lineRule="auto"/>
        <w:ind w:left="0" w:firstLine="0"/>
        <w:contextualSpacing w:val="0"/>
        <w:rPr>
          <w:sz w:val="20"/>
          <w:szCs w:val="20"/>
          <w:rFonts w:ascii="Arial" w:eastAsia="Arial" w:hAnsi="Arial" w:cs="Arial"/>
        </w:rPr>
      </w:pPr>
      <w:r>
        <w:rPr>
          <w:sz w:val="20"/>
          <w:rFonts w:ascii="Arial" w:hAnsi="Arial"/>
        </w:rPr>
        <w:t xml:space="preserve">Output:</w:t>
      </w:r>
      <w:r>
        <w:rPr>
          <w:sz w:val="20"/>
          <w:rFonts w:ascii="Arial" w:hAnsi="Arial"/>
        </w:rPr>
        <w:t xml:space="preserve"> </w:t>
      </w:r>
      <w:r>
        <w:rPr>
          <w:sz w:val="20"/>
          <w:rFonts w:ascii="Arial" w:hAnsi="Arial"/>
        </w:rPr>
        <w:t xml:space="preserve">1,192,800 tons</w:t>
      </w:r>
    </w:p>
    <w:p w:rsidR="00142D47" w:rsidRPr="00D51512" w:rsidRDefault="007C589B" w:rsidP="00D51512">
      <w:pPr>
        <w:pStyle w:val="ListParagraph"/>
        <w:numPr>
          <w:ilvl w:val="0"/>
          <w:numId w:val="11"/>
        </w:numPr>
        <w:pBdr>
          <w:top w:val="nil"/>
          <w:left w:val="nil"/>
          <w:bottom w:val="nil"/>
          <w:right w:val="nil"/>
          <w:between w:val="nil"/>
        </w:pBdr>
        <w:tabs>
          <w:tab w:val="left" w:pos="360"/>
          <w:tab w:val="left" w:pos="4924"/>
        </w:tabs>
        <w:spacing w:after="120" w:line="360" w:lineRule="auto"/>
        <w:ind w:left="0" w:firstLine="0"/>
        <w:contextualSpacing w:val="0"/>
        <w:rPr>
          <w:sz w:val="20"/>
          <w:szCs w:val="20"/>
          <w:rFonts w:ascii="Arial" w:eastAsia="Arial" w:hAnsi="Arial" w:cs="Arial"/>
        </w:rPr>
      </w:pPr>
      <w:r>
        <w:rPr>
          <w:sz w:val="20"/>
          <w:rFonts w:ascii="Arial" w:hAnsi="Arial"/>
        </w:rPr>
        <w:t xml:space="preserve">Revenue:</w:t>
      </w:r>
      <w:r>
        <w:rPr>
          <w:sz w:val="20"/>
          <w:rFonts w:ascii="Arial" w:hAnsi="Arial"/>
        </w:rPr>
        <w:t xml:space="preserve"> </w:t>
      </w:r>
      <w:r>
        <w:rPr>
          <w:sz w:val="20"/>
          <w:rFonts w:ascii="Arial" w:hAnsi="Arial"/>
        </w:rPr>
        <w:t xml:space="preserve">VND 628,546,000,000</w:t>
      </w:r>
    </w:p>
    <w:p w:rsidR="00142D47" w:rsidRPr="00D51512" w:rsidRDefault="00D51512" w:rsidP="00D51512">
      <w:pPr>
        <w:pStyle w:val="ListParagraph"/>
        <w:numPr>
          <w:ilvl w:val="0"/>
          <w:numId w:val="11"/>
        </w:numPr>
        <w:pBdr>
          <w:top w:val="nil"/>
          <w:left w:val="nil"/>
          <w:bottom w:val="nil"/>
          <w:right w:val="nil"/>
          <w:between w:val="nil"/>
        </w:pBdr>
        <w:tabs>
          <w:tab w:val="left" w:pos="360"/>
          <w:tab w:val="left" w:pos="4924"/>
        </w:tabs>
        <w:spacing w:after="120" w:line="360" w:lineRule="auto"/>
        <w:ind w:left="0" w:firstLine="0"/>
        <w:contextualSpacing w:val="0"/>
        <w:rPr>
          <w:sz w:val="20"/>
          <w:szCs w:val="20"/>
          <w:rFonts w:ascii="Arial" w:eastAsia="Arial" w:hAnsi="Arial" w:cs="Arial"/>
        </w:rPr>
      </w:pPr>
      <w:r>
        <w:rPr>
          <w:sz w:val="20"/>
          <w:rFonts w:ascii="Arial" w:hAnsi="Arial"/>
        </w:rPr>
        <w:t xml:space="preserve">Profit before tax:</w:t>
      </w:r>
      <w:r>
        <w:rPr>
          <w:sz w:val="20"/>
          <w:rFonts w:ascii="Arial" w:hAnsi="Arial"/>
        </w:rPr>
        <w:t xml:space="preserve"> </w:t>
      </w:r>
      <w:r>
        <w:rPr>
          <w:sz w:val="20"/>
          <w:rFonts w:ascii="Arial" w:hAnsi="Arial"/>
        </w:rPr>
        <w:t xml:space="preserve">VND 57,971,000,000</w:t>
      </w:r>
    </w:p>
    <w:p w:rsidR="00142D47" w:rsidRPr="00D51512" w:rsidRDefault="00D51512" w:rsidP="00D51512">
      <w:pPr>
        <w:numPr>
          <w:ilvl w:val="0"/>
          <w:numId w:val="1"/>
        </w:numPr>
        <w:pBdr>
          <w:top w:val="nil"/>
          <w:left w:val="nil"/>
          <w:bottom w:val="nil"/>
          <w:right w:val="nil"/>
          <w:between w:val="nil"/>
        </w:pBdr>
        <w:tabs>
          <w:tab w:val="left" w:pos="360"/>
          <w:tab w:val="left" w:pos="920"/>
        </w:tabs>
        <w:spacing w:after="120" w:line="360" w:lineRule="auto"/>
        <w:rPr>
          <w:sz w:val="20"/>
          <w:szCs w:val="20"/>
          <w:rFonts w:ascii="Arial" w:eastAsia="Arial" w:hAnsi="Arial" w:cs="Arial"/>
        </w:rPr>
      </w:pPr>
      <w:r>
        <w:rPr>
          <w:sz w:val="20"/>
          <w:rFonts w:ascii="Arial" w:hAnsi="Arial"/>
        </w:rPr>
        <w:t xml:space="preserve">Ship investment plan and expected implementation time:</w:t>
      </w:r>
    </w:p>
    <w:p w:rsidR="00142D47" w:rsidRPr="00D51512" w:rsidRDefault="00D51512" w:rsidP="00D51512">
      <w:pPr>
        <w:pStyle w:val="ListParagraph"/>
        <w:numPr>
          <w:ilvl w:val="0"/>
          <w:numId w:val="12"/>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Invest in 01 ship with a tonnage of 28,000 - 32,000 DWT</w:t>
      </w:r>
    </w:p>
    <w:p w:rsidR="00142D47" w:rsidRPr="00D51512" w:rsidRDefault="00D51512" w:rsidP="00D51512">
      <w:pPr>
        <w:pStyle w:val="ListParagraph"/>
        <w:numPr>
          <w:ilvl w:val="0"/>
          <w:numId w:val="12"/>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Total expected investment:</w:t>
      </w:r>
      <w:r>
        <w:rPr>
          <w:sz w:val="20"/>
          <w:rFonts w:ascii="Arial" w:hAnsi="Arial"/>
        </w:rPr>
        <w:t xml:space="preserve"> </w:t>
      </w:r>
      <w:r>
        <w:rPr>
          <w:sz w:val="20"/>
          <w:rFonts w:ascii="Arial" w:hAnsi="Arial"/>
        </w:rPr>
        <w:t xml:space="preserve">about USD 12 million (equivalent to about VND 303 billion)</w:t>
      </w:r>
    </w:p>
    <w:p w:rsidR="00142D47" w:rsidRPr="00D51512" w:rsidRDefault="00D51512" w:rsidP="00D51512">
      <w:pPr>
        <w:pStyle w:val="ListParagraph"/>
        <w:numPr>
          <w:ilvl w:val="0"/>
          <w:numId w:val="12"/>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Implementation time:</w:t>
      </w:r>
      <w:r>
        <w:rPr>
          <w:sz w:val="20"/>
          <w:rFonts w:ascii="Arial" w:hAnsi="Arial"/>
        </w:rPr>
        <w:t xml:space="preserve"> </w:t>
      </w:r>
      <w:r>
        <w:rPr>
          <w:sz w:val="20"/>
          <w:rFonts w:ascii="Arial" w:hAnsi="Arial"/>
        </w:rPr>
        <w:t xml:space="preserve">In 2024</w:t>
      </w:r>
    </w:p>
    <w:p w:rsidR="00142D47" w:rsidRPr="00D51512" w:rsidRDefault="00D51512" w:rsidP="00D51512">
      <w:pPr>
        <w:numPr>
          <w:ilvl w:val="0"/>
          <w:numId w:val="1"/>
        </w:numPr>
        <w:pBdr>
          <w:top w:val="nil"/>
          <w:left w:val="nil"/>
          <w:bottom w:val="nil"/>
          <w:right w:val="nil"/>
          <w:between w:val="nil"/>
        </w:pBdr>
        <w:tabs>
          <w:tab w:val="left" w:pos="360"/>
          <w:tab w:val="left" w:pos="916"/>
        </w:tabs>
        <w:spacing w:after="120" w:line="360" w:lineRule="auto"/>
        <w:rPr>
          <w:sz w:val="20"/>
          <w:szCs w:val="20"/>
          <w:rFonts w:ascii="Arial" w:eastAsia="Arial" w:hAnsi="Arial" w:cs="Arial"/>
        </w:rPr>
      </w:pPr>
      <w:r>
        <w:rPr>
          <w:sz w:val="20"/>
          <w:rFonts w:ascii="Arial" w:hAnsi="Arial"/>
        </w:rPr>
        <w:t xml:space="preserve">Divest 33,686 VST shares in 2024 at an appropriate time</w:t>
      </w:r>
    </w:p>
    <w:p w:rsidR="00142D47" w:rsidRPr="00D51512" w:rsidRDefault="00D51512" w:rsidP="00D51512">
      <w:pPr>
        <w:pBdr>
          <w:top w:val="nil"/>
          <w:left w:val="nil"/>
          <w:bottom w:val="nil"/>
          <w:right w:val="nil"/>
          <w:between w:val="nil"/>
        </w:pBdr>
        <w:tabs>
          <w:tab w:val="left" w:pos="360"/>
          <w:tab w:val="left" w:pos="9896"/>
        </w:tabs>
        <w:spacing w:after="120" w:line="360" w:lineRule="auto"/>
        <w:rPr>
          <w:sz w:val="20"/>
          <w:szCs w:val="20"/>
          <w:rFonts w:ascii="Arial" w:eastAsia="Arial" w:hAnsi="Arial" w:cs="Arial"/>
        </w:rPr>
      </w:pPr>
      <w:r>
        <w:rPr>
          <w:sz w:val="20"/>
          <w:rFonts w:ascii="Arial" w:hAnsi="Arial"/>
        </w:rPr>
        <w:t xml:space="preserve">(Shares of VIETNAM SEA TRANSPORT AND CHARTERING JSC, currently listed on the UpCom exchange)</w:t>
      </w:r>
      <w:r>
        <w:rPr>
          <w:sz w:val="20"/>
          <w:rFonts w:ascii="Arial" w:hAnsi="Arial"/>
        </w:rPr>
        <w:t xml:space="preserve"> </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4- Salary and remuneration levels of the Board of Directors and Supervisory Board in 2024.</w:t>
      </w:r>
    </w:p>
    <w:p w:rsidR="007C589B" w:rsidRPr="00D51512" w:rsidRDefault="00D51512" w:rsidP="00D51512">
      <w:pPr>
        <w:pStyle w:val="ListParagraph"/>
        <w:numPr>
          <w:ilvl w:val="0"/>
          <w:numId w:val="13"/>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Salary fund and salary levels of executive Board of Directors and Supervisory Board (if any):</w:t>
      </w:r>
      <w:r>
        <w:rPr>
          <w:sz w:val="20"/>
          <w:rFonts w:ascii="Arial" w:hAnsi="Arial"/>
        </w:rPr>
        <w:t xml:space="preserve"> </w:t>
      </w:r>
      <w:r>
        <w:rPr>
          <w:sz w:val="20"/>
          <w:rFonts w:ascii="Arial" w:hAnsi="Arial"/>
        </w:rPr>
        <w:t xml:space="preserve">Determined according to the Regulation on Labor and Salary Management in Vietnam National Shipping Lines.</w:t>
      </w:r>
    </w:p>
    <w:p w:rsidR="00142D47" w:rsidRPr="00D51512" w:rsidRDefault="00D51512" w:rsidP="00D51512">
      <w:pPr>
        <w:pStyle w:val="ListParagraph"/>
        <w:numPr>
          <w:ilvl w:val="0"/>
          <w:numId w:val="13"/>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Remuneration of the Board of Directors and Supervisory Board</w:t>
      </w:r>
    </w:p>
    <w:p w:rsidR="00142D47" w:rsidRPr="00D51512" w:rsidRDefault="00D51512" w:rsidP="00D51512">
      <w:pPr>
        <w:numPr>
          <w:ilvl w:val="0"/>
          <w:numId w:val="7"/>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Chair of the Board of Directors</w:t>
      </w:r>
      <w:r>
        <w:rPr>
          <w:sz w:val="20"/>
          <w:rFonts w:ascii="Arial" w:hAnsi="Arial"/>
        </w:rPr>
        <w:t xml:space="preserve"> </w:t>
      </w:r>
      <w:r>
        <w:rPr>
          <w:sz w:val="20"/>
          <w:rFonts w:ascii="Arial" w:hAnsi="Arial"/>
        </w:rPr>
        <w:t xml:space="preserve">VND 5,000,000/month</w:t>
      </w:r>
    </w:p>
    <w:p w:rsidR="00142D47" w:rsidRPr="00D51512" w:rsidRDefault="00D51512" w:rsidP="00D51512">
      <w:pPr>
        <w:numPr>
          <w:ilvl w:val="0"/>
          <w:numId w:val="7"/>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Vice Chair of the Board of Directors:</w:t>
      </w:r>
      <w:r>
        <w:rPr>
          <w:sz w:val="20"/>
          <w:rFonts w:ascii="Arial" w:hAnsi="Arial"/>
        </w:rPr>
        <w:t xml:space="preserve"> </w:t>
      </w:r>
      <w:r>
        <w:rPr>
          <w:sz w:val="20"/>
          <w:rFonts w:ascii="Arial" w:hAnsi="Arial"/>
        </w:rPr>
        <w:t xml:space="preserve">VND 4,000,000/month</w:t>
      </w:r>
    </w:p>
    <w:p w:rsidR="00142D47" w:rsidRPr="00D51512" w:rsidRDefault="007C589B" w:rsidP="00D51512">
      <w:pPr>
        <w:numPr>
          <w:ilvl w:val="0"/>
          <w:numId w:val="7"/>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Members of the Board of Directors:</w:t>
      </w:r>
      <w:r>
        <w:rPr>
          <w:sz w:val="20"/>
          <w:rFonts w:ascii="Arial" w:hAnsi="Arial"/>
        </w:rPr>
        <w:t xml:space="preserve"> </w:t>
      </w:r>
      <w:r>
        <w:rPr>
          <w:sz w:val="20"/>
          <w:rFonts w:ascii="Arial" w:hAnsi="Arial"/>
        </w:rPr>
        <w:t xml:space="preserve">VND 4,000,000/person/month;</w:t>
      </w:r>
    </w:p>
    <w:p w:rsidR="00142D47" w:rsidRPr="00D51512" w:rsidRDefault="00D51512" w:rsidP="00D51512">
      <w:pPr>
        <w:numPr>
          <w:ilvl w:val="0"/>
          <w:numId w:val="7"/>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Chief of the Supervisory Board:</w:t>
      </w:r>
      <w:r>
        <w:rPr>
          <w:sz w:val="20"/>
          <w:rFonts w:ascii="Arial" w:hAnsi="Arial"/>
        </w:rPr>
        <w:t xml:space="preserve"> </w:t>
      </w:r>
      <w:r>
        <w:rPr>
          <w:sz w:val="20"/>
          <w:rFonts w:ascii="Arial" w:hAnsi="Arial"/>
        </w:rPr>
        <w:t xml:space="preserve">VND 4,000,000/month</w:t>
      </w:r>
    </w:p>
    <w:p w:rsidR="00142D47" w:rsidRPr="00D51512" w:rsidRDefault="007C589B" w:rsidP="00D51512">
      <w:pPr>
        <w:numPr>
          <w:ilvl w:val="0"/>
          <w:numId w:val="7"/>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Member of the Supervisory Board:</w:t>
      </w:r>
      <w:r>
        <w:rPr>
          <w:sz w:val="20"/>
          <w:rFonts w:ascii="Arial" w:hAnsi="Arial"/>
        </w:rPr>
        <w:t xml:space="preserve"> </w:t>
      </w:r>
      <w:r>
        <w:rPr>
          <w:sz w:val="20"/>
          <w:rFonts w:ascii="Arial" w:hAnsi="Arial"/>
        </w:rPr>
        <w:t xml:space="preserve">VND 3,000,000/person/month;</w:t>
      </w:r>
    </w:p>
    <w:p w:rsidR="00142D47" w:rsidRPr="00D51512" w:rsidRDefault="00D51512" w:rsidP="00D51512">
      <w:pPr>
        <w:numPr>
          <w:ilvl w:val="0"/>
          <w:numId w:val="7"/>
        </w:numPr>
        <w:pBdr>
          <w:top w:val="nil"/>
          <w:left w:val="nil"/>
          <w:bottom w:val="nil"/>
          <w:right w:val="nil"/>
          <w:between w:val="nil"/>
        </w:pBdr>
        <w:tabs>
          <w:tab w:val="left" w:pos="360"/>
        </w:tabs>
        <w:spacing w:after="120" w:line="360" w:lineRule="auto"/>
        <w:ind w:left="0" w:firstLine="0"/>
        <w:sectPr w:rsidR="00142D47" w:rsidRPr="00D51512" w:rsidSect="00D51512">
          <w:type w:val="continuous"/>
          <w:pgSz w:w="11906" w:h="16838"/>
          <w:pgMar w:top="1440" w:right="1440" w:bottom="1440" w:left="1440" w:header="0" w:footer="3" w:gutter="0"/>
          <w:cols w:space="720"/>
          <w:docGrid w:linePitch="326"/>
        </w:sectPr>
        <w:rPr>
          <w:sz w:val="20"/>
          <w:szCs w:val="20"/>
          <w:rFonts w:ascii="Arial" w:eastAsia="Arial" w:hAnsi="Arial" w:cs="Arial"/>
        </w:rPr>
      </w:pPr>
      <w:r>
        <w:rPr>
          <w:sz w:val="20"/>
          <w:rFonts w:ascii="Arial" w:hAnsi="Arial"/>
        </w:rPr>
        <w:t xml:space="preserve">Person in charge of corporate governance:</w:t>
      </w:r>
      <w:r>
        <w:rPr>
          <w:sz w:val="20"/>
          <w:rFonts w:ascii="Arial" w:hAnsi="Arial"/>
        </w:rPr>
        <w:t xml:space="preserve"> </w:t>
      </w:r>
      <w:r>
        <w:rPr>
          <w:sz w:val="20"/>
          <w:rFonts w:ascii="Arial" w:hAnsi="Arial"/>
        </w:rPr>
        <w:t xml:space="preserve">VND 2,000,000/month</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6.</w:t>
      </w:r>
      <w:r>
        <w:rPr>
          <w:sz w:val="20"/>
          <w:rFonts w:ascii="Arial" w:hAnsi="Arial"/>
        </w:rPr>
        <w:t xml:space="preserve"> </w:t>
      </w:r>
      <w:r>
        <w:rPr>
          <w:sz w:val="20"/>
          <w:rFonts w:ascii="Arial" w:hAnsi="Arial"/>
        </w:rPr>
        <w:t xml:space="preserve">Approve Proposal No. 136/VNS-HDQT, dated April 3, 2024 of the Board of Directors on the issuance to increase share capital from owner's equity (development investment fund) by voting card; including the following main contents:</w:t>
      </w:r>
    </w:p>
    <w:p w:rsidR="00142D47" w:rsidRPr="00D51512" w:rsidRDefault="00D51512" w:rsidP="00D51512">
      <w:pPr>
        <w:numPr>
          <w:ilvl w:val="0"/>
          <w:numId w:val="2"/>
        </w:numPr>
        <w:pBdr>
          <w:top w:val="nil"/>
          <w:left w:val="nil"/>
          <w:bottom w:val="nil"/>
          <w:right w:val="nil"/>
          <w:between w:val="nil"/>
        </w:pBdr>
        <w:tabs>
          <w:tab w:val="left" w:pos="360"/>
          <w:tab w:val="left" w:pos="941"/>
        </w:tabs>
        <w:spacing w:after="120" w:line="360" w:lineRule="auto"/>
        <w:sectPr w:rsidR="00142D47" w:rsidRPr="00D51512" w:rsidSect="00D51512">
          <w:type w:val="continuous"/>
          <w:pgSz w:w="11906" w:h="16838"/>
          <w:pgMar w:top="1440" w:right="1440" w:bottom="1440" w:left="1440" w:header="0" w:footer="3" w:gutter="0"/>
          <w:cols w:space="720"/>
          <w:docGrid w:linePitch="326"/>
        </w:sectPr>
        <w:rPr>
          <w:sz w:val="20"/>
          <w:szCs w:val="20"/>
          <w:rFonts w:ascii="Arial" w:eastAsia="Arial" w:hAnsi="Arial" w:cs="Arial"/>
        </w:rPr>
      </w:pPr>
      <w:r>
        <w:rPr>
          <w:sz w:val="20"/>
          <w:rFonts w:ascii="Arial" w:hAnsi="Arial"/>
        </w:rPr>
        <w:t xml:space="preserve">Approve the plan to issue shares to increase share capital from owner's equity (from the development investment fund)</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Share name:</w:t>
      </w:r>
      <w:r>
        <w:rPr>
          <w:sz w:val="20"/>
          <w:rFonts w:ascii="Arial" w:hAnsi="Arial"/>
        </w:rPr>
        <w:t xml:space="preserve"> </w:t>
      </w:r>
      <w:r>
        <w:rPr>
          <w:sz w:val="20"/>
          <w:rFonts w:ascii="Arial" w:hAnsi="Arial"/>
        </w:rPr>
        <w:t xml:space="preserve">Share of Vinaship Joint Stock Company</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Securities code:</w:t>
      </w:r>
      <w:r>
        <w:rPr>
          <w:sz w:val="20"/>
          <w:rFonts w:ascii="Arial" w:hAnsi="Arial"/>
        </w:rPr>
        <w:t xml:space="preserve"> </w:t>
      </w:r>
      <w:r>
        <w:rPr>
          <w:sz w:val="20"/>
          <w:rFonts w:ascii="Arial" w:hAnsi="Arial"/>
        </w:rPr>
        <w:t xml:space="preserve">VNA</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sectPr w:rsidR="00142D47" w:rsidRPr="00D51512" w:rsidSect="00D51512">
          <w:type w:val="continuous"/>
          <w:pgSz w:w="11906" w:h="16838"/>
          <w:pgMar w:top="1440" w:right="1440" w:bottom="1440" w:left="1440" w:header="0" w:footer="3" w:gutter="0"/>
          <w:cols w:space="720"/>
          <w:docGrid w:linePitch="326"/>
        </w:sectPr>
        <w:rPr>
          <w:sz w:val="20"/>
          <w:szCs w:val="20"/>
          <w:rFonts w:ascii="Arial" w:eastAsia="Arial" w:hAnsi="Arial" w:cs="Arial"/>
        </w:rPr>
      </w:pPr>
      <w:r>
        <w:rPr>
          <w:sz w:val="20"/>
          <w:rFonts w:ascii="Arial" w:hAnsi="Arial"/>
        </w:rPr>
        <w:t xml:space="preserve">Share type:</w:t>
      </w:r>
      <w:r>
        <w:rPr>
          <w:sz w:val="20"/>
          <w:rFonts w:ascii="Arial" w:hAnsi="Arial"/>
        </w:rPr>
        <w:t xml:space="preserve"> </w:t>
      </w:r>
      <w:r>
        <w:rPr>
          <w:sz w:val="20"/>
          <w:rFonts w:ascii="Arial" w:hAnsi="Arial"/>
        </w:rPr>
        <w:t xml:space="preserve">Common and unrestricted from transfer share</w:t>
      </w:r>
    </w:p>
    <w:p w:rsidR="00142D47" w:rsidRPr="00D51512" w:rsidRDefault="00D51512" w:rsidP="00D51512">
      <w:pPr>
        <w:numPr>
          <w:ilvl w:val="0"/>
          <w:numId w:val="5"/>
        </w:numPr>
        <w:pBdr>
          <w:top w:val="nil"/>
          <w:left w:val="nil"/>
          <w:bottom w:val="nil"/>
          <w:right w:val="nil"/>
          <w:between w:val="nil"/>
        </w:pBdr>
        <w:tabs>
          <w:tab w:val="left" w:pos="360"/>
          <w:tab w:val="left" w:pos="2945"/>
        </w:tabs>
        <w:spacing w:after="120" w:line="360" w:lineRule="auto"/>
        <w:ind w:left="0" w:firstLine="0"/>
        <w:rPr>
          <w:sz w:val="20"/>
          <w:szCs w:val="20"/>
          <w:rFonts w:ascii="Arial" w:eastAsia="Arial" w:hAnsi="Arial" w:cs="Arial"/>
        </w:rPr>
      </w:pPr>
      <w:r>
        <w:rPr>
          <w:sz w:val="20"/>
          <w:rFonts w:ascii="Arial" w:hAnsi="Arial"/>
        </w:rPr>
        <w:t xml:space="preserve">Par value:</w:t>
      </w:r>
      <w:r>
        <w:rPr>
          <w:sz w:val="20"/>
          <w:rFonts w:ascii="Arial" w:hAnsi="Arial"/>
        </w:rPr>
        <w:t xml:space="preserve"> </w:t>
      </w:r>
      <w:r>
        <w:rPr>
          <w:sz w:val="20"/>
          <w:rFonts w:ascii="Arial" w:hAnsi="Arial"/>
        </w:rPr>
        <w:t xml:space="preserve">VND 10,000/share</w:t>
      </w:r>
    </w:p>
    <w:p w:rsidR="00142D47" w:rsidRPr="00D51512" w:rsidRDefault="00D51512" w:rsidP="00D51512">
      <w:pPr>
        <w:numPr>
          <w:ilvl w:val="0"/>
          <w:numId w:val="5"/>
        </w:numPr>
        <w:pBdr>
          <w:top w:val="nil"/>
          <w:left w:val="nil"/>
          <w:bottom w:val="nil"/>
          <w:right w:val="nil"/>
          <w:between w:val="nil"/>
        </w:pBdr>
        <w:tabs>
          <w:tab w:val="left" w:pos="360"/>
          <w:tab w:val="left" w:pos="2945"/>
        </w:tabs>
        <w:spacing w:after="120" w:line="360" w:lineRule="auto"/>
        <w:ind w:left="0" w:firstLine="0"/>
        <w:rPr>
          <w:sz w:val="20"/>
          <w:szCs w:val="20"/>
          <w:rFonts w:ascii="Arial" w:eastAsia="Arial" w:hAnsi="Arial" w:cs="Arial"/>
        </w:rPr>
      </w:pPr>
      <w:r>
        <w:rPr>
          <w:sz w:val="20"/>
          <w:rFonts w:ascii="Arial" w:hAnsi="Arial"/>
        </w:rPr>
        <w:t xml:space="preserve">Rights exercise rate:</w:t>
      </w:r>
      <w:r>
        <w:rPr>
          <w:sz w:val="20"/>
          <w:rFonts w:ascii="Arial" w:hAnsi="Arial"/>
        </w:rPr>
        <w:t xml:space="preserve"> </w:t>
      </w:r>
      <w:r>
        <w:rPr>
          <w:sz w:val="20"/>
          <w:rFonts w:ascii="Arial" w:hAnsi="Arial"/>
        </w:rPr>
        <w:t xml:space="preserve">100:70 (On the record date, shareholders owning 100 shares will receive 70 new shares)</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Total number of outstanding share:</w:t>
      </w:r>
      <w:r>
        <w:rPr>
          <w:sz w:val="20"/>
          <w:rFonts w:ascii="Arial" w:hAnsi="Arial"/>
        </w:rPr>
        <w:t xml:space="preserve"> </w:t>
      </w:r>
      <w:r>
        <w:rPr>
          <w:sz w:val="20"/>
          <w:rFonts w:ascii="Arial" w:hAnsi="Arial"/>
        </w:rPr>
        <w:t xml:space="preserve">20,000,000 shares</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Number of shares expected to be issued:</w:t>
      </w:r>
      <w:r>
        <w:rPr>
          <w:sz w:val="20"/>
          <w:rFonts w:ascii="Arial" w:hAnsi="Arial"/>
        </w:rPr>
        <w:t xml:space="preserve"> </w:t>
      </w:r>
      <w:r>
        <w:rPr>
          <w:sz w:val="20"/>
          <w:rFonts w:ascii="Arial" w:hAnsi="Arial"/>
        </w:rPr>
        <w:t xml:space="preserve">14,000,000 shares</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Issuance purpose:</w:t>
      </w:r>
      <w:r>
        <w:rPr>
          <w:sz w:val="20"/>
          <w:rFonts w:ascii="Arial" w:hAnsi="Arial"/>
        </w:rPr>
        <w:t xml:space="preserve"> </w:t>
      </w:r>
      <w:r>
        <w:rPr>
          <w:sz w:val="20"/>
          <w:rFonts w:ascii="Arial" w:hAnsi="Arial"/>
        </w:rPr>
        <w:t xml:space="preserve">Issue shares to increase charter capital to serve the Company's operations</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Total expected issuance value at par: </w:t>
      </w:r>
      <w:r>
        <w:rPr>
          <w:sz w:val="20"/>
          <w:rFonts w:ascii="Arial" w:hAnsi="Arial"/>
        </w:rPr>
        <w:t xml:space="preserve"> </w:t>
      </w:r>
      <w:r>
        <w:rPr>
          <w:sz w:val="20"/>
          <w:rFonts w:ascii="Arial" w:hAnsi="Arial"/>
        </w:rPr>
        <w:t xml:space="preserve">140,000,000,000</w:t>
      </w:r>
      <w:r>
        <w:rPr>
          <w:sz w:val="20"/>
          <w:rFonts w:ascii="Arial" w:hAnsi="Arial"/>
        </w:rPr>
        <w:t xml:space="preserve"> </w:t>
      </w:r>
    </w:p>
    <w:p w:rsidR="00142D47" w:rsidRPr="00D51512" w:rsidRDefault="00D51512" w:rsidP="00D51512">
      <w:pPr>
        <w:numPr>
          <w:ilvl w:val="0"/>
          <w:numId w:val="5"/>
        </w:numPr>
        <w:pBdr>
          <w:top w:val="nil"/>
          <w:left w:val="nil"/>
          <w:bottom w:val="nil"/>
          <w:right w:val="nil"/>
          <w:between w:val="nil"/>
        </w:pBdr>
        <w:tabs>
          <w:tab w:val="left" w:pos="360"/>
          <w:tab w:val="left" w:pos="2956"/>
        </w:tabs>
        <w:spacing w:after="120" w:line="360" w:lineRule="auto"/>
        <w:ind w:left="0" w:firstLine="0"/>
        <w:rPr>
          <w:sz w:val="20"/>
          <w:szCs w:val="20"/>
          <w:rFonts w:ascii="Arial" w:eastAsia="Arial" w:hAnsi="Arial" w:cs="Arial"/>
        </w:rPr>
      </w:pPr>
      <w:r>
        <w:rPr>
          <w:sz w:val="20"/>
          <w:rFonts w:ascii="Arial" w:hAnsi="Arial"/>
        </w:rPr>
        <w:t xml:space="preserve">Capital source for the issuance:</w:t>
      </w:r>
      <w:r>
        <w:rPr>
          <w:sz w:val="20"/>
          <w:rFonts w:ascii="Arial" w:hAnsi="Arial"/>
        </w:rPr>
        <w:t xml:space="preserve"> </w:t>
      </w:r>
      <w:r>
        <w:rPr>
          <w:sz w:val="20"/>
          <w:rFonts w:ascii="Arial" w:hAnsi="Arial"/>
        </w:rPr>
        <w:t xml:space="preserve">From the Development Investment Fund as of December 31, 2023 based on the audited Financial Statements 2023 of the holding company.</w:t>
      </w:r>
    </w:p>
    <w:p w:rsidR="00142D47" w:rsidRPr="00D51512" w:rsidRDefault="00D51512" w:rsidP="00D51512">
      <w:pPr>
        <w:numPr>
          <w:ilvl w:val="0"/>
          <w:numId w:val="5"/>
        </w:numPr>
        <w:pBdr>
          <w:top w:val="nil"/>
          <w:left w:val="nil"/>
          <w:bottom w:val="nil"/>
          <w:right w:val="nil"/>
          <w:between w:val="nil"/>
        </w:pBdr>
        <w:tabs>
          <w:tab w:val="left" w:pos="360"/>
          <w:tab w:val="left" w:pos="2945"/>
        </w:tabs>
        <w:spacing w:after="120" w:line="360" w:lineRule="auto"/>
        <w:ind w:left="0" w:firstLine="0"/>
        <w:rPr>
          <w:sz w:val="20"/>
          <w:szCs w:val="20"/>
          <w:rFonts w:ascii="Arial" w:eastAsia="Arial" w:hAnsi="Arial" w:cs="Arial"/>
        </w:rPr>
      </w:pPr>
      <w:r>
        <w:rPr>
          <w:sz w:val="20"/>
          <w:rFonts w:ascii="Arial" w:hAnsi="Arial"/>
        </w:rPr>
        <w:t xml:space="preserve">Subjects of the issuance:</w:t>
      </w:r>
      <w:r>
        <w:rPr>
          <w:sz w:val="20"/>
          <w:rFonts w:ascii="Arial" w:hAnsi="Arial"/>
        </w:rPr>
        <w:t xml:space="preserve"> </w:t>
      </w:r>
      <w:r>
        <w:rPr>
          <w:sz w:val="20"/>
          <w:rFonts w:ascii="Arial" w:hAnsi="Arial"/>
        </w:rPr>
        <w:t xml:space="preserve">From the Development Investment Fund as of December 31, 2023 based on the audited Financial Statements 2023 of the holding company.</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Issuance method:</w:t>
      </w:r>
      <w:r>
        <w:rPr>
          <w:sz w:val="20"/>
          <w:rFonts w:ascii="Arial" w:hAnsi="Arial"/>
        </w:rPr>
        <w:t xml:space="preserve"> </w:t>
      </w:r>
      <w:r>
        <w:rPr>
          <w:sz w:val="20"/>
          <w:rFonts w:ascii="Arial" w:hAnsi="Arial"/>
        </w:rPr>
        <w:t xml:space="preserve">Share issuance to increase share capital from the source of owners’ equity</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Plan on handling fractional shares:</w:t>
      </w:r>
      <w:r>
        <w:rPr>
          <w:sz w:val="20"/>
          <w:rFonts w:ascii="Arial" w:hAnsi="Arial"/>
        </w:rPr>
        <w:t xml:space="preserve"> </w:t>
      </w:r>
      <w:r>
        <w:rPr>
          <w:sz w:val="20"/>
          <w:rFonts w:ascii="Arial" w:hAnsi="Arial"/>
        </w:rPr>
        <w:t xml:space="preserve">The number of shares issued to shareholders will be rounded down to the unit, and the number of fractional shares arising (if any) due to rounding down will be canceled.</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Transfer conditions:</w:t>
      </w:r>
      <w:r>
        <w:rPr>
          <w:sz w:val="20"/>
          <w:rFonts w:ascii="Arial" w:hAnsi="Arial"/>
        </w:rPr>
        <w:t xml:space="preserve"> </w:t>
      </w:r>
      <w:r>
        <w:rPr>
          <w:sz w:val="20"/>
          <w:rFonts w:ascii="Arial" w:hAnsi="Arial"/>
        </w:rPr>
        <w:t xml:space="preserve">Shares issued to increase charter capital are freely transferable shares.</w:t>
      </w:r>
    </w:p>
    <w:p w:rsidR="00142D47" w:rsidRPr="00D51512" w:rsidRDefault="00D51512" w:rsidP="00D51512">
      <w:pPr>
        <w:numPr>
          <w:ilvl w:val="0"/>
          <w:numId w:val="5"/>
        </w:numPr>
        <w:pBdr>
          <w:top w:val="nil"/>
          <w:left w:val="nil"/>
          <w:bottom w:val="nil"/>
          <w:right w:val="nil"/>
          <w:between w:val="nil"/>
        </w:pBdr>
        <w:tabs>
          <w:tab w:val="left" w:pos="360"/>
        </w:tabs>
        <w:spacing w:after="120" w:line="360" w:lineRule="auto"/>
        <w:ind w:left="0" w:firstLine="0"/>
        <w:rPr>
          <w:sz w:val="20"/>
          <w:szCs w:val="20"/>
          <w:rFonts w:ascii="Arial" w:eastAsia="Arial" w:hAnsi="Arial" w:cs="Arial"/>
        </w:rPr>
      </w:pPr>
      <w:r>
        <w:rPr>
          <w:sz w:val="20"/>
          <w:rFonts w:ascii="Arial" w:hAnsi="Arial"/>
        </w:rPr>
        <w:t xml:space="preserve">Issuance time:</w:t>
      </w:r>
      <w:r>
        <w:rPr>
          <w:sz w:val="20"/>
          <w:rFonts w:ascii="Arial" w:hAnsi="Arial"/>
        </w:rPr>
        <w:t xml:space="preserve"> </w:t>
      </w:r>
      <w:r>
        <w:rPr>
          <w:sz w:val="20"/>
          <w:rFonts w:ascii="Arial" w:hAnsi="Arial"/>
        </w:rPr>
        <w:t xml:space="preserve">After being approved by the General Meeting of Shareholders of Vinaship and the State Securities Commission issues a notice of receipt of complete dossiers of the Issuance Report (expected in 2024).</w:t>
      </w:r>
    </w:p>
    <w:p w:rsidR="00142D47" w:rsidRPr="00D51512" w:rsidRDefault="00D51512" w:rsidP="00D51512">
      <w:pPr>
        <w:pStyle w:val="ListParagraph"/>
        <w:numPr>
          <w:ilvl w:val="0"/>
          <w:numId w:val="2"/>
        </w:numPr>
        <w:pBdr>
          <w:top w:val="nil"/>
          <w:left w:val="nil"/>
          <w:bottom w:val="nil"/>
          <w:right w:val="nil"/>
          <w:between w:val="nil"/>
        </w:pBdr>
        <w:tabs>
          <w:tab w:val="left" w:pos="360"/>
        </w:tabs>
        <w:spacing w:after="120" w:line="360" w:lineRule="auto"/>
        <w:contextualSpacing w:val="0"/>
        <w:rPr>
          <w:sz w:val="20"/>
          <w:szCs w:val="20"/>
          <w:rFonts w:ascii="Arial" w:eastAsia="Arial" w:hAnsi="Arial" w:cs="Arial"/>
        </w:rPr>
      </w:pPr>
      <w:r>
        <w:rPr>
          <w:sz w:val="20"/>
          <w:rFonts w:ascii="Arial" w:hAnsi="Arial"/>
        </w:rPr>
        <w:t xml:space="preserve">Assign/authorize the Board of Directors to:</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Proactively develop, complete and explain the dossier of registration for reporting the issuance of shares to increase share capital from the owner's equity (development investment fund) as required by competent authorities.</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sectPr w:rsidR="00142D47" w:rsidRPr="00D51512" w:rsidSect="00D51512">
          <w:type w:val="continuous"/>
          <w:pgSz w:w="11906" w:h="16838"/>
          <w:pgMar w:top="1440" w:right="1440" w:bottom="1440" w:left="1440" w:header="0" w:footer="3" w:gutter="0"/>
          <w:cols w:space="720"/>
          <w:docGrid w:linePitch="326"/>
        </w:sectPr>
        <w:rPr>
          <w:sz w:val="20"/>
          <w:szCs w:val="20"/>
          <w:rFonts w:ascii="Arial" w:eastAsia="Arial" w:hAnsi="Arial" w:cs="Arial"/>
        </w:rPr>
      </w:pPr>
      <w:r>
        <w:rPr>
          <w:sz w:val="20"/>
          <w:rFonts w:ascii="Arial" w:hAnsi="Arial"/>
        </w:rPr>
        <w:t xml:space="preserve">Decide on the specific time to carry out the issuance of shares after receiving a written notice from the State Securities Commission about receiving complete documents of the Company's share issuance; decide on the time to record the list of shareholders to exercise rights, ensure compliance with the provisions of law; decide on the time to record the list of shareholders to exercise rights related to the issuance of shares.</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Carry out necessary procedures to implement the issuance, additional depository of all issued shares, additional listing of issued shares in accordance with the provisions of law, update and change business registration related to charter capital after issuance.</w:t>
      </w:r>
      <w:r>
        <w:rPr>
          <w:sz w:val="20"/>
          <w:rFonts w:ascii="Arial" w:hAnsi="Arial"/>
        </w:rPr>
        <w:cr/>
      </w:r>
      <w:r>
        <w:rPr>
          <w:sz w:val="20"/>
          <w:rFonts w:ascii="Arial" w:hAnsi="Arial"/>
        </w:rPr>
        <w:br/>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Handle fractional shares arising in accordance with regulations.</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Flexibly adjust and allocate capital sources for the purposes of capital use.</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Decide on all other work related to the increase of charter capital.</w:t>
      </w:r>
    </w:p>
    <w:p w:rsidR="00142D47" w:rsidRPr="00D51512" w:rsidRDefault="00D51512" w:rsidP="00D51512">
      <w:pPr>
        <w:pStyle w:val="ListParagraph"/>
        <w:numPr>
          <w:ilvl w:val="0"/>
          <w:numId w:val="14"/>
        </w:numPr>
        <w:pBdr>
          <w:top w:val="nil"/>
          <w:left w:val="nil"/>
          <w:bottom w:val="nil"/>
          <w:right w:val="nil"/>
          <w:between w:val="nil"/>
        </w:pBdr>
        <w:tabs>
          <w:tab w:val="left" w:pos="360"/>
        </w:tabs>
        <w:spacing w:after="120" w:line="360" w:lineRule="auto"/>
        <w:ind w:left="0" w:firstLine="0"/>
        <w:contextualSpacing w:val="0"/>
        <w:rPr>
          <w:sz w:val="20"/>
          <w:szCs w:val="20"/>
          <w:rFonts w:ascii="Arial" w:eastAsia="Arial" w:hAnsi="Arial" w:cs="Arial"/>
        </w:rPr>
      </w:pPr>
      <w:r>
        <w:rPr>
          <w:sz w:val="20"/>
          <w:rFonts w:ascii="Arial" w:hAnsi="Arial"/>
        </w:rPr>
        <w:t xml:space="preserve">Depending on each specific case, the Board of Directors is assigned/authorized to the Chair of the Board of Directors and/or the General Manager to perform one or some of the above tasks.</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7.</w:t>
      </w:r>
      <w:r>
        <w:rPr>
          <w:sz w:val="20"/>
          <w:rFonts w:ascii="Arial" w:hAnsi="Arial"/>
        </w:rPr>
        <w:t xml:space="preserve"> </w:t>
      </w:r>
      <w:r>
        <w:rPr>
          <w:sz w:val="20"/>
          <w:rFonts w:ascii="Arial" w:hAnsi="Arial"/>
        </w:rPr>
        <w:t xml:space="preserve">The General Meeting approves the authorization of the Board of Directors to select one of the following 3 audit companies to audit the Financial Statements for 2024:</w:t>
      </w:r>
    </w:p>
    <w:p w:rsidR="00142D47" w:rsidRPr="00D51512" w:rsidRDefault="00D51512" w:rsidP="00D51512">
      <w:pPr>
        <w:numPr>
          <w:ilvl w:val="0"/>
          <w:numId w:val="3"/>
        </w:numPr>
        <w:pBdr>
          <w:top w:val="nil"/>
          <w:left w:val="nil"/>
          <w:bottom w:val="nil"/>
          <w:right w:val="nil"/>
          <w:between w:val="nil"/>
        </w:pBdr>
        <w:tabs>
          <w:tab w:val="left" w:pos="360"/>
          <w:tab w:val="left" w:pos="884"/>
        </w:tabs>
        <w:spacing w:after="120" w:line="360" w:lineRule="auto"/>
        <w:rPr>
          <w:sz w:val="20"/>
          <w:szCs w:val="20"/>
          <w:rFonts w:ascii="Arial" w:eastAsia="Arial" w:hAnsi="Arial" w:cs="Arial"/>
        </w:rPr>
      </w:pPr>
      <w:r>
        <w:rPr>
          <w:sz w:val="20"/>
          <w:rFonts w:ascii="Arial" w:hAnsi="Arial"/>
        </w:rPr>
        <w:t xml:space="preserve">Deloitte Vietnam Audit Company Limited</w:t>
      </w:r>
    </w:p>
    <w:p w:rsidR="00142D47" w:rsidRPr="00D51512" w:rsidRDefault="00D51512" w:rsidP="00D51512">
      <w:pPr>
        <w:numPr>
          <w:ilvl w:val="0"/>
          <w:numId w:val="3"/>
        </w:numPr>
        <w:pBdr>
          <w:top w:val="nil"/>
          <w:left w:val="nil"/>
          <w:bottom w:val="nil"/>
          <w:right w:val="nil"/>
          <w:between w:val="nil"/>
        </w:pBdr>
        <w:tabs>
          <w:tab w:val="left" w:pos="360"/>
          <w:tab w:val="left" w:pos="916"/>
        </w:tabs>
        <w:spacing w:after="120" w:line="360" w:lineRule="auto"/>
        <w:rPr>
          <w:sz w:val="20"/>
          <w:szCs w:val="20"/>
          <w:rFonts w:ascii="Arial" w:eastAsia="Arial" w:hAnsi="Arial" w:cs="Arial"/>
        </w:rPr>
      </w:pPr>
      <w:r>
        <w:rPr>
          <w:sz w:val="20"/>
          <w:rFonts w:ascii="Arial" w:hAnsi="Arial"/>
        </w:rPr>
        <w:t xml:space="preserve">AASC Auditing Firm Company Limited;</w:t>
      </w:r>
    </w:p>
    <w:p w:rsidR="00142D47" w:rsidRPr="00D51512" w:rsidRDefault="00D51512" w:rsidP="00D51512">
      <w:pPr>
        <w:numPr>
          <w:ilvl w:val="0"/>
          <w:numId w:val="3"/>
        </w:numPr>
        <w:pBdr>
          <w:top w:val="nil"/>
          <w:left w:val="nil"/>
          <w:bottom w:val="nil"/>
          <w:right w:val="nil"/>
          <w:between w:val="nil"/>
        </w:pBdr>
        <w:tabs>
          <w:tab w:val="left" w:pos="360"/>
          <w:tab w:val="left" w:pos="920"/>
        </w:tabs>
        <w:spacing w:after="120" w:line="360" w:lineRule="auto"/>
        <w:rPr>
          <w:sz w:val="20"/>
          <w:szCs w:val="20"/>
          <w:rFonts w:ascii="Arial" w:eastAsia="Arial" w:hAnsi="Arial" w:cs="Arial"/>
        </w:rPr>
      </w:pPr>
      <w:r>
        <w:rPr>
          <w:sz w:val="20"/>
          <w:rFonts w:ascii="Arial" w:hAnsi="Arial"/>
        </w:rPr>
        <w:t xml:space="preserve">UHY Audit And Advisory Services Limited</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8.</w:t>
      </w:r>
      <w:r>
        <w:rPr>
          <w:sz w:val="20"/>
          <w:rFonts w:ascii="Arial" w:hAnsi="Arial"/>
        </w:rPr>
        <w:t xml:space="preserve"> </w:t>
      </w:r>
      <w:r>
        <w:rPr>
          <w:sz w:val="20"/>
          <w:rFonts w:ascii="Arial" w:hAnsi="Arial"/>
        </w:rPr>
        <w:t xml:space="preserve">Approve the dismissal of Mr. Pham Tuan Hai from the position of member of the Board of Directors for the term 2022-2027.</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9.</w:t>
      </w:r>
      <w:r>
        <w:rPr>
          <w:sz w:val="20"/>
          <w:rFonts w:ascii="Arial" w:hAnsi="Arial"/>
        </w:rPr>
        <w:t xml:space="preserve"> </w:t>
      </w:r>
      <w:r>
        <w:rPr>
          <w:sz w:val="20"/>
          <w:rFonts w:ascii="Arial" w:hAnsi="Arial"/>
        </w:rPr>
        <w:t xml:space="preserve">Approve the election results of Ms. Vu Thi Phuong Thao as an additional member of the Board of Directors for the term 2022-2027.</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10.</w:t>
      </w:r>
      <w:r>
        <w:rPr>
          <w:sz w:val="20"/>
          <w:rFonts w:ascii="Arial" w:hAnsi="Arial"/>
        </w:rPr>
        <w:t xml:space="preserve"> </w:t>
      </w:r>
      <w:r>
        <w:rPr>
          <w:sz w:val="20"/>
          <w:rFonts w:ascii="Arial" w:hAnsi="Arial"/>
        </w:rPr>
        <w:t xml:space="preserve">Approve the relocation of the company's head office to No. 14 Vo Nguyen Giap, Kenh Duong Ward, Le Chan District, Hai Phong City.</w:t>
      </w:r>
      <w:r>
        <w:rPr>
          <w:sz w:val="20"/>
          <w:rFonts w:ascii="Arial" w:hAnsi="Arial"/>
        </w:rPr>
        <w:t xml:space="preserve"> </w:t>
      </w:r>
      <w:r>
        <w:rPr>
          <w:sz w:val="20"/>
          <w:rFonts w:ascii="Arial" w:hAnsi="Arial"/>
        </w:rPr>
        <w:t xml:space="preserve">Assign the Board of Directors of the Company to carry out necessary procedures and amend the business registration certificate according to the new address.</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11.</w:t>
      </w:r>
      <w:r>
        <w:rPr>
          <w:sz w:val="20"/>
          <w:rFonts w:ascii="Arial" w:hAnsi="Arial"/>
        </w:rPr>
        <w:t xml:space="preserve"> </w:t>
      </w:r>
      <w:r>
        <w:rPr>
          <w:sz w:val="20"/>
          <w:rFonts w:ascii="Arial" w:hAnsi="Arial"/>
        </w:rPr>
        <w:t xml:space="preserve">Assign the Board of Directors of the Company to direct and implement the contents that have been resolved by the General Meeting in accordance with the provisions of the Law and the Charter of organization and operation of Vinaship.</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sz w:val="20"/>
          <w:rFonts w:ascii="Arial" w:hAnsi="Arial"/>
        </w:rPr>
        <w:t xml:space="preserve">Article 12.</w:t>
      </w:r>
      <w:r>
        <w:rPr>
          <w:sz w:val="20"/>
          <w:rFonts w:ascii="Arial" w:hAnsi="Arial"/>
        </w:rPr>
        <w:t xml:space="preserve"> </w:t>
      </w:r>
      <w:r>
        <w:rPr>
          <w:sz w:val="20"/>
          <w:rFonts w:ascii="Arial" w:hAnsi="Arial"/>
        </w:rPr>
        <w:t xml:space="preserve">This General Mandate was approved in its entirety by the Annual General Meeting of Shareholders 2024 of Vinaship and takes effect from April 26, 2024.</w:t>
      </w:r>
    </w:p>
    <w:p w:rsidR="00142D47" w:rsidRPr="00D51512" w:rsidRDefault="00D51512" w:rsidP="00D51512">
      <w:pPr>
        <w:pBdr>
          <w:top w:val="nil"/>
          <w:left w:val="nil"/>
          <w:bottom w:val="nil"/>
          <w:right w:val="nil"/>
          <w:between w:val="nil"/>
        </w:pBdr>
        <w:tabs>
          <w:tab w:val="left" w:pos="360"/>
        </w:tabs>
        <w:spacing w:after="120" w:line="360" w:lineRule="auto"/>
        <w:rPr>
          <w:sz w:val="20"/>
          <w:szCs w:val="20"/>
          <w:rFonts w:ascii="Arial" w:eastAsia="Arial" w:hAnsi="Arial" w:cs="Arial"/>
        </w:rPr>
      </w:pPr>
      <w:r>
        <w:rPr>
          <w:color w:val="1F1F24"/>
          <w:sz w:val="20"/>
          <w:rFonts w:ascii="Arial" w:hAnsi="Arial"/>
        </w:rPr>
        <w:t xml:space="preserve">All shareholders, members of the Board of Directors, Supervisory Board, and Executive Board of Vinaship shall implement this General Mandate.</w:t>
      </w:r>
    </w:p>
    <w:sectPr w:rsidR="00142D47" w:rsidRPr="00D51512" w:rsidSect="00D51512">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B80"/>
    <w:multiLevelType w:val="hybridMultilevel"/>
    <w:tmpl w:val="7C180CAE"/>
    <w:lvl w:ilvl="0" w:tplc="9E2EECC4">
      <w:start w:val="1"/>
      <w:numFmt w:val="bullet"/>
      <w:lvlText w:val="+"/>
      <w:lvlJc w:val="left"/>
      <w:pPr>
        <w:ind w:left="720" w:hanging="360"/>
      </w:pPr>
      <w:rPr>
        <w:rFonts w:ascii="Arial" w:hAnsi="Arial" w:hint="default"/>
        <w:b w:val="0"/>
        <w:i w:val="0"/>
        <w:sz w:val="20"/>
      </w:rPr>
    </w:lvl>
    <w:lvl w:ilvl="1" w:tplc="F6F6E1CA" w:tentative="1">
      <w:start w:val="1"/>
      <w:numFmt w:val="bullet"/>
      <w:lvlText w:val="o"/>
      <w:lvlJc w:val="left"/>
      <w:pPr>
        <w:ind w:left="1440" w:hanging="360"/>
      </w:pPr>
      <w:rPr>
        <w:rFonts w:ascii="Courier New" w:hAnsi="Courier New" w:cs="Courier New" w:hint="default"/>
        <w:b w:val="0"/>
        <w:i w:val="0"/>
        <w:sz w:val="20"/>
      </w:rPr>
    </w:lvl>
    <w:lvl w:ilvl="2" w:tplc="C74EB1A0"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44C61"/>
    <w:multiLevelType w:val="multilevel"/>
    <w:tmpl w:val="6A96979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C74848"/>
    <w:multiLevelType w:val="hybridMultilevel"/>
    <w:tmpl w:val="7EEE0726"/>
    <w:lvl w:ilvl="0" w:tplc="8230DC96">
      <w:start w:val="1"/>
      <w:numFmt w:val="bullet"/>
      <w:lvlText w:val="+"/>
      <w:lvlJc w:val="left"/>
      <w:pPr>
        <w:ind w:left="720" w:hanging="360"/>
      </w:pPr>
      <w:rPr>
        <w:rFonts w:ascii="Arial" w:hAnsi="Arial" w:hint="default"/>
        <w:b w:val="0"/>
        <w:i w:val="0"/>
        <w:sz w:val="20"/>
      </w:rPr>
    </w:lvl>
    <w:lvl w:ilvl="1" w:tplc="17A2E396" w:tentative="1">
      <w:start w:val="1"/>
      <w:numFmt w:val="bullet"/>
      <w:lvlText w:val="o"/>
      <w:lvlJc w:val="left"/>
      <w:pPr>
        <w:ind w:left="1440" w:hanging="360"/>
      </w:pPr>
      <w:rPr>
        <w:rFonts w:ascii="Courier New" w:hAnsi="Courier New" w:cs="Courier New" w:hint="default"/>
        <w:b w:val="0"/>
        <w:i w:val="0"/>
        <w:sz w:val="20"/>
      </w:rPr>
    </w:lvl>
    <w:lvl w:ilvl="2" w:tplc="8CCE37E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561AA"/>
    <w:multiLevelType w:val="multilevel"/>
    <w:tmpl w:val="C8A26EB4"/>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464281"/>
    <w:multiLevelType w:val="multilevel"/>
    <w:tmpl w:val="9F04ED9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696E76"/>
    <w:multiLevelType w:val="multilevel"/>
    <w:tmpl w:val="C59456A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C97AC6"/>
    <w:multiLevelType w:val="multilevel"/>
    <w:tmpl w:val="6C322F8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285CEE"/>
    <w:multiLevelType w:val="multilevel"/>
    <w:tmpl w:val="C4AA63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0744A0E"/>
    <w:multiLevelType w:val="multilevel"/>
    <w:tmpl w:val="499446B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942BDB"/>
    <w:multiLevelType w:val="multilevel"/>
    <w:tmpl w:val="DE1C7CC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0F85A34"/>
    <w:multiLevelType w:val="multilevel"/>
    <w:tmpl w:val="475C198A"/>
    <w:lvl w:ilvl="0">
      <w:start w:val="45"/>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250BDF"/>
    <w:multiLevelType w:val="hybridMultilevel"/>
    <w:tmpl w:val="B892623E"/>
    <w:lvl w:ilvl="0" w:tplc="78FCB76E">
      <w:start w:val="1"/>
      <w:numFmt w:val="bullet"/>
      <w:lvlText w:val="+"/>
      <w:lvlJc w:val="left"/>
      <w:pPr>
        <w:ind w:left="720" w:hanging="360"/>
      </w:pPr>
      <w:rPr>
        <w:rFonts w:ascii="Arial" w:hAnsi="Arial" w:hint="default"/>
        <w:b w:val="0"/>
        <w:i w:val="0"/>
        <w:sz w:val="20"/>
      </w:rPr>
    </w:lvl>
    <w:lvl w:ilvl="1" w:tplc="E0CA4F2C" w:tentative="1">
      <w:start w:val="1"/>
      <w:numFmt w:val="bullet"/>
      <w:lvlText w:val="o"/>
      <w:lvlJc w:val="left"/>
      <w:pPr>
        <w:ind w:left="1440" w:hanging="360"/>
      </w:pPr>
      <w:rPr>
        <w:rFonts w:ascii="Courier New" w:hAnsi="Courier New" w:cs="Courier New" w:hint="default"/>
        <w:b w:val="0"/>
        <w:i w:val="0"/>
        <w:sz w:val="20"/>
      </w:rPr>
    </w:lvl>
    <w:lvl w:ilvl="2" w:tplc="7F1CBC3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8688D"/>
    <w:multiLevelType w:val="multilevel"/>
    <w:tmpl w:val="E2546678"/>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FBD5ADB"/>
    <w:multiLevelType w:val="hybridMultilevel"/>
    <w:tmpl w:val="9BC8AC82"/>
    <w:lvl w:ilvl="0" w:tplc="5790BD4A">
      <w:start w:val="1"/>
      <w:numFmt w:val="bullet"/>
      <w:lvlText w:val="+"/>
      <w:lvlJc w:val="left"/>
      <w:pPr>
        <w:ind w:left="720" w:hanging="360"/>
      </w:pPr>
      <w:rPr>
        <w:rFonts w:ascii="Arial" w:hAnsi="Arial" w:hint="default"/>
        <w:b w:val="0"/>
        <w:i w:val="0"/>
        <w:sz w:val="20"/>
      </w:rPr>
    </w:lvl>
    <w:lvl w:ilvl="1" w:tplc="FE4C32C6" w:tentative="1">
      <w:start w:val="1"/>
      <w:numFmt w:val="bullet"/>
      <w:lvlText w:val="o"/>
      <w:lvlJc w:val="left"/>
      <w:pPr>
        <w:ind w:left="1440" w:hanging="360"/>
      </w:pPr>
      <w:rPr>
        <w:rFonts w:ascii="Courier New" w:hAnsi="Courier New" w:cs="Courier New" w:hint="default"/>
        <w:b w:val="0"/>
        <w:i w:val="0"/>
        <w:sz w:val="20"/>
      </w:rPr>
    </w:lvl>
    <w:lvl w:ilvl="2" w:tplc="9CC22E20"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8"/>
  </w:num>
  <w:num w:numId="5">
    <w:abstractNumId w:val="4"/>
  </w:num>
  <w:num w:numId="6">
    <w:abstractNumId w:val="5"/>
  </w:num>
  <w:num w:numId="7">
    <w:abstractNumId w:val="10"/>
  </w:num>
  <w:num w:numId="8">
    <w:abstractNumId w:val="6"/>
  </w:num>
  <w:num w:numId="9">
    <w:abstractNumId w:val="1"/>
  </w:num>
  <w:num w:numId="10">
    <w:abstractNumId w:val="3"/>
  </w:num>
  <w:num w:numId="11">
    <w:abstractNumId w:val="0"/>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7"/>
    <w:rsid w:val="00142D47"/>
    <w:rsid w:val="007C589B"/>
    <w:rsid w:val="00D5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5F87"/>
  <w15:docId w15:val="{198B2D50-84CF-4315-916E-25B8348E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ahoma" w:eastAsia="Tahoma" w:hAnsi="Tahoma" w:cs="Tahoma"/>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52"/>
      <w:szCs w:val="52"/>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46"/>
      <w:szCs w:val="46"/>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3D3D41"/>
      <w:sz w:val="20"/>
      <w:szCs w:val="20"/>
      <w:u w:val="none"/>
      <w:shd w:val="clear" w:color="auto" w:fill="auto"/>
    </w:rPr>
  </w:style>
  <w:style w:type="character" w:customStyle="1" w:styleId="Bodytext5">
    <w:name w:val="Body text (5)_"/>
    <w:basedOn w:val="DefaultParagraphFont"/>
    <w:link w:val="Bodytext50"/>
    <w:rPr>
      <w:rFonts w:ascii="Corbel" w:eastAsia="Corbel" w:hAnsi="Corbel" w:cs="Corbel"/>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0"/>
      <w:szCs w:val="10"/>
      <w:u w:val="none"/>
      <w:shd w:val="clear" w:color="auto" w:fill="auto"/>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pacing w:line="233" w:lineRule="auto"/>
      <w:jc w:val="center"/>
    </w:pPr>
    <w:rPr>
      <w:rFonts w:ascii="Tahoma" w:eastAsia="Tahoma" w:hAnsi="Tahoma" w:cs="Tahoma"/>
      <w:b/>
      <w:bCs/>
    </w:rPr>
  </w:style>
  <w:style w:type="paragraph" w:customStyle="1" w:styleId="Heading11">
    <w:name w:val="Heading #1"/>
    <w:basedOn w:val="Normal"/>
    <w:link w:val="Heading10"/>
    <w:pPr>
      <w:spacing w:line="180" w:lineRule="auto"/>
      <w:jc w:val="center"/>
      <w:outlineLvl w:val="0"/>
    </w:pPr>
    <w:rPr>
      <w:rFonts w:ascii="Times New Roman" w:eastAsia="Times New Roman" w:hAnsi="Times New Roman" w:cs="Times New Roman"/>
      <w:sz w:val="52"/>
      <w:szCs w:val="52"/>
    </w:rPr>
  </w:style>
  <w:style w:type="paragraph" w:customStyle="1" w:styleId="Heading41">
    <w:name w:val="Heading #4"/>
    <w:basedOn w:val="Normal"/>
    <w:link w:val="Heading40"/>
    <w:pPr>
      <w:jc w:val="center"/>
      <w:outlineLvl w:val="3"/>
    </w:pPr>
    <w:rPr>
      <w:rFonts w:ascii="Times New Roman" w:eastAsia="Times New Roman" w:hAnsi="Times New Roman" w:cs="Times New Roman"/>
      <w:b/>
      <w:bCs/>
      <w:sz w:val="30"/>
      <w:szCs w:val="30"/>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6"/>
      <w:szCs w:val="36"/>
    </w:rPr>
  </w:style>
  <w:style w:type="paragraph" w:customStyle="1" w:styleId="Tablecaption0">
    <w:name w:val="Table caption"/>
    <w:basedOn w:val="Normal"/>
    <w:link w:val="Tablecaption"/>
    <w:pPr>
      <w:spacing w:line="228" w:lineRule="auto"/>
    </w:pPr>
    <w:rPr>
      <w:rFonts w:ascii="Times New Roman" w:eastAsia="Times New Roman" w:hAnsi="Times New Roman" w:cs="Times New Roman"/>
      <w:i/>
      <w:iCs/>
      <w:sz w:val="26"/>
      <w:szCs w:val="26"/>
    </w:rPr>
  </w:style>
  <w:style w:type="paragraph" w:customStyle="1" w:styleId="Other0">
    <w:name w:val="Other"/>
    <w:basedOn w:val="Normal"/>
    <w:link w:val="Other"/>
    <w:pPr>
      <w:spacing w:line="259" w:lineRule="auto"/>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spacing w:line="180" w:lineRule="auto"/>
      <w:jc w:val="right"/>
      <w:outlineLvl w:val="1"/>
    </w:pPr>
    <w:rPr>
      <w:rFonts w:ascii="Arial" w:eastAsia="Arial" w:hAnsi="Arial" w:cs="Arial"/>
      <w:sz w:val="46"/>
      <w:szCs w:val="46"/>
    </w:rPr>
  </w:style>
  <w:style w:type="paragraph" w:customStyle="1" w:styleId="Bodytext60">
    <w:name w:val="Body text (6)"/>
    <w:basedOn w:val="Normal"/>
    <w:link w:val="Bodytext6"/>
    <w:rPr>
      <w:rFonts w:ascii="Arial" w:eastAsia="Arial" w:hAnsi="Arial" w:cs="Arial"/>
      <w:sz w:val="30"/>
      <w:szCs w:val="30"/>
    </w:rPr>
  </w:style>
  <w:style w:type="paragraph" w:customStyle="1" w:styleId="Bodytext20">
    <w:name w:val="Body text (2)"/>
    <w:basedOn w:val="Normal"/>
    <w:link w:val="Bodytext2"/>
    <w:pPr>
      <w:ind w:left="1020"/>
    </w:pPr>
    <w:rPr>
      <w:rFonts w:ascii="Times New Roman" w:eastAsia="Times New Roman" w:hAnsi="Times New Roman" w:cs="Times New Roman"/>
      <w:i/>
      <w:iCs/>
      <w:color w:val="3D3D41"/>
      <w:sz w:val="20"/>
      <w:szCs w:val="20"/>
    </w:rPr>
  </w:style>
  <w:style w:type="paragraph" w:customStyle="1" w:styleId="Bodytext50">
    <w:name w:val="Body text (5)"/>
    <w:basedOn w:val="Normal"/>
    <w:link w:val="Bodytext5"/>
    <w:pPr>
      <w:spacing w:line="271" w:lineRule="auto"/>
    </w:pPr>
    <w:rPr>
      <w:rFonts w:ascii="Corbel" w:eastAsia="Corbel" w:hAnsi="Corbel" w:cs="Corbel"/>
      <w:sz w:val="17"/>
      <w:szCs w:val="17"/>
    </w:rPr>
  </w:style>
  <w:style w:type="paragraph" w:customStyle="1" w:styleId="Bodytext30">
    <w:name w:val="Body text (3)"/>
    <w:basedOn w:val="Normal"/>
    <w:link w:val="Bodytext3"/>
    <w:pPr>
      <w:spacing w:line="307" w:lineRule="auto"/>
    </w:pPr>
    <w:rPr>
      <w:rFonts w:ascii="Arial" w:eastAsia="Arial" w:hAnsi="Arial" w:cs="Arial"/>
      <w:sz w:val="10"/>
      <w:szCs w:val="10"/>
    </w:rPr>
  </w:style>
  <w:style w:type="paragraph" w:styleId="ListParagraph">
    <w:name w:val="List Paragraph"/>
    <w:basedOn w:val="Normal"/>
    <w:uiPriority w:val="34"/>
    <w:qFormat/>
    <w:rsid w:val="0005055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y3j8JQR+EOsYL0umT3zENYAMQ==">CgMxLjA4AHIhMWxJazBEX1k1RTd5M2VRRXk2OXJ6U3JJWmNKdXV4SXlI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1548</Words>
  <Characters>5885</Characters>
  <Application>Microsoft Office Word</Application>
  <DocSecurity>0</DocSecurity>
  <Lines>173</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2024-05-07T07:31:00Z</dcterms:created>
  <dcterms:modified xsi:type="dcterms:W3CDTF">2024-05-07T09:00:00Z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72c45ffc21414090687e557a749d70dcbb459bef65a3a0fc579915edc435537f</vt:lpwstr>
  </property>
</Properties>
</file>