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B1" w:rsidRDefault="008E1970" w:rsidP="00B778DE">
      <w:pPr>
        <w:pBdr>
          <w:top w:val="nil"/>
          <w:left w:val="nil"/>
          <w:bottom w:val="nil"/>
          <w:right w:val="nil"/>
          <w:between w:val="nil"/>
        </w:pBdr>
        <w:tabs>
          <w:tab w:val="left" w:pos="432"/>
          <w:tab w:val="left" w:pos="504"/>
        </w:tabs>
        <w:spacing w:after="120" w:line="360" w:lineRule="auto"/>
        <w:jc w:val="both"/>
        <w:rPr>
          <w:rFonts w:ascii="Arial" w:eastAsia="Arial" w:hAnsi="Arial" w:cs="Arial"/>
          <w:b/>
          <w:color w:val="010000"/>
          <w:sz w:val="20"/>
          <w:szCs w:val="20"/>
        </w:rPr>
      </w:pPr>
      <w:bookmarkStart w:id="0" w:name="_heading=h.gjdgxs"/>
      <w:bookmarkEnd w:id="0"/>
      <w:r>
        <w:rPr>
          <w:rFonts w:ascii="Arial" w:hAnsi="Arial"/>
          <w:b/>
          <w:color w:val="010000"/>
          <w:sz w:val="20"/>
        </w:rPr>
        <w:t>VNC: Annual General Mandate 2024</w:t>
      </w:r>
    </w:p>
    <w:p w:rsidR="00AE46B1" w:rsidRDefault="008E1970" w:rsidP="00B778DE">
      <w:pPr>
        <w:pBdr>
          <w:top w:val="nil"/>
          <w:left w:val="nil"/>
          <w:bottom w:val="nil"/>
          <w:right w:val="nil"/>
          <w:between w:val="nil"/>
        </w:pBdr>
        <w:tabs>
          <w:tab w:val="left" w:pos="432"/>
          <w:tab w:val="left" w:pos="504"/>
        </w:tabs>
        <w:spacing w:after="120" w:line="360" w:lineRule="auto"/>
        <w:jc w:val="both"/>
        <w:rPr>
          <w:rFonts w:ascii="Arial" w:eastAsia="Arial" w:hAnsi="Arial" w:cs="Arial"/>
          <w:color w:val="010000"/>
          <w:sz w:val="20"/>
          <w:szCs w:val="20"/>
        </w:rPr>
      </w:pPr>
      <w:r>
        <w:rPr>
          <w:rFonts w:ascii="Arial" w:hAnsi="Arial"/>
          <w:color w:val="010000"/>
          <w:sz w:val="20"/>
        </w:rPr>
        <w:t xml:space="preserve">On April 23, 2024, </w:t>
      </w:r>
      <w:proofErr w:type="spellStart"/>
      <w:r>
        <w:rPr>
          <w:rFonts w:ascii="Arial" w:hAnsi="Arial"/>
          <w:color w:val="010000"/>
          <w:sz w:val="20"/>
        </w:rPr>
        <w:t>Vinacontrol</w:t>
      </w:r>
      <w:proofErr w:type="spellEnd"/>
      <w:r>
        <w:rPr>
          <w:rFonts w:ascii="Arial" w:hAnsi="Arial"/>
          <w:color w:val="010000"/>
          <w:sz w:val="20"/>
        </w:rPr>
        <w:t xml:space="preserve"> Group Corporation announced General Mandate No. 073/DHDCD-NQ as follows: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The Annual </w:t>
      </w:r>
      <w:r w:rsidR="00B778DE">
        <w:rPr>
          <w:rFonts w:ascii="Arial" w:hAnsi="Arial"/>
          <w:color w:val="010000"/>
          <w:sz w:val="20"/>
        </w:rPr>
        <w:t>General Meeting</w:t>
      </w:r>
      <w:r>
        <w:rPr>
          <w:rFonts w:ascii="Arial" w:hAnsi="Arial"/>
          <w:color w:val="010000"/>
          <w:sz w:val="20"/>
        </w:rPr>
        <w:t xml:space="preserve"> in 2024 was held. The meeting was conducted with the participation and voting rates in accordance with current legal regulations.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2: Approve the Meeting Agenda, Organization Regulations, Voting Rules, and Election Regulations</w:t>
      </w:r>
    </w:p>
    <w:p w:rsidR="00AE46B1" w:rsidRDefault="008E1970" w:rsidP="00B778DE">
      <w:pPr>
        <w:numPr>
          <w:ilvl w:val="0"/>
          <w:numId w:val="12"/>
        </w:numPr>
        <w:pBdr>
          <w:top w:val="nil"/>
          <w:left w:val="nil"/>
          <w:bottom w:val="nil"/>
          <w:right w:val="nil"/>
          <w:between w:val="nil"/>
        </w:pBdr>
        <w:tabs>
          <w:tab w:val="left" w:pos="432"/>
          <w:tab w:val="left" w:pos="535"/>
        </w:tabs>
        <w:spacing w:after="120" w:line="360" w:lineRule="auto"/>
        <w:jc w:val="both"/>
        <w:rPr>
          <w:rFonts w:ascii="Arial" w:eastAsia="Arial" w:hAnsi="Arial" w:cs="Arial"/>
          <w:color w:val="010000"/>
          <w:sz w:val="20"/>
          <w:szCs w:val="20"/>
        </w:rPr>
      </w:pPr>
      <w:r>
        <w:rPr>
          <w:rFonts w:ascii="Arial" w:hAnsi="Arial"/>
          <w:color w:val="010000"/>
          <w:sz w:val="20"/>
        </w:rPr>
        <w:t>Approve the Meeting Agenda</w:t>
      </w:r>
    </w:p>
    <w:p w:rsidR="00AE46B1" w:rsidRDefault="008E1970" w:rsidP="00B778DE">
      <w:pPr>
        <w:numPr>
          <w:ilvl w:val="0"/>
          <w:numId w:val="12"/>
        </w:numPr>
        <w:pBdr>
          <w:top w:val="nil"/>
          <w:left w:val="nil"/>
          <w:bottom w:val="nil"/>
          <w:right w:val="nil"/>
          <w:between w:val="nil"/>
        </w:pBdr>
        <w:tabs>
          <w:tab w:val="left" w:pos="432"/>
          <w:tab w:val="left" w:pos="535"/>
        </w:tabs>
        <w:spacing w:after="120" w:line="360" w:lineRule="auto"/>
        <w:jc w:val="both"/>
        <w:rPr>
          <w:rFonts w:ascii="Arial" w:eastAsia="Arial" w:hAnsi="Arial" w:cs="Arial"/>
          <w:color w:val="010000"/>
          <w:sz w:val="20"/>
          <w:szCs w:val="20"/>
        </w:rPr>
      </w:pPr>
      <w:r>
        <w:rPr>
          <w:rFonts w:ascii="Arial" w:hAnsi="Arial"/>
          <w:color w:val="010000"/>
          <w:sz w:val="20"/>
        </w:rPr>
        <w:t>Approve the Organization Regulations</w:t>
      </w:r>
    </w:p>
    <w:p w:rsidR="00AE46B1" w:rsidRDefault="008E1970" w:rsidP="00B778DE">
      <w:pPr>
        <w:numPr>
          <w:ilvl w:val="0"/>
          <w:numId w:val="12"/>
        </w:numPr>
        <w:pBdr>
          <w:top w:val="nil"/>
          <w:left w:val="nil"/>
          <w:bottom w:val="nil"/>
          <w:right w:val="nil"/>
          <w:between w:val="nil"/>
        </w:pBdr>
        <w:tabs>
          <w:tab w:val="left" w:pos="432"/>
          <w:tab w:val="left" w:pos="538"/>
        </w:tabs>
        <w:spacing w:after="120" w:line="360" w:lineRule="auto"/>
        <w:jc w:val="both"/>
        <w:rPr>
          <w:rFonts w:ascii="Arial" w:eastAsia="Arial" w:hAnsi="Arial" w:cs="Arial"/>
          <w:color w:val="010000"/>
          <w:sz w:val="20"/>
          <w:szCs w:val="20"/>
        </w:rPr>
      </w:pPr>
      <w:r>
        <w:rPr>
          <w:rFonts w:ascii="Arial" w:hAnsi="Arial"/>
          <w:color w:val="010000"/>
          <w:sz w:val="20"/>
        </w:rPr>
        <w:t>Approve the Voting Rules</w:t>
      </w:r>
    </w:p>
    <w:p w:rsidR="00AE46B1" w:rsidRDefault="008E1970" w:rsidP="00B778DE">
      <w:pPr>
        <w:numPr>
          <w:ilvl w:val="0"/>
          <w:numId w:val="12"/>
        </w:numPr>
        <w:pBdr>
          <w:top w:val="nil"/>
          <w:left w:val="nil"/>
          <w:bottom w:val="nil"/>
          <w:right w:val="nil"/>
          <w:between w:val="nil"/>
        </w:pBdr>
        <w:tabs>
          <w:tab w:val="left" w:pos="432"/>
          <w:tab w:val="left" w:pos="538"/>
        </w:tabs>
        <w:spacing w:after="120" w:line="360" w:lineRule="auto"/>
        <w:jc w:val="both"/>
        <w:rPr>
          <w:rFonts w:ascii="Arial" w:eastAsia="Arial" w:hAnsi="Arial" w:cs="Arial"/>
          <w:color w:val="010000"/>
          <w:sz w:val="20"/>
          <w:szCs w:val="20"/>
        </w:rPr>
      </w:pPr>
      <w:r>
        <w:rPr>
          <w:rFonts w:ascii="Arial" w:hAnsi="Arial"/>
          <w:color w:val="010000"/>
          <w:sz w:val="20"/>
        </w:rPr>
        <w:t>Approve the Election Regulations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3: Approve the report on activities of the Supervisory Board and the Board of Directors;</w:t>
      </w:r>
    </w:p>
    <w:p w:rsidR="00AE46B1" w:rsidRDefault="008E1970" w:rsidP="00B778DE">
      <w:pPr>
        <w:numPr>
          <w:ilvl w:val="0"/>
          <w:numId w:val="13"/>
        </w:numPr>
        <w:pBdr>
          <w:top w:val="nil"/>
          <w:left w:val="nil"/>
          <w:bottom w:val="nil"/>
          <w:right w:val="nil"/>
          <w:between w:val="nil"/>
        </w:pBdr>
        <w:tabs>
          <w:tab w:val="left" w:pos="452"/>
        </w:tabs>
        <w:spacing w:after="120" w:line="360" w:lineRule="auto"/>
        <w:jc w:val="both"/>
        <w:rPr>
          <w:rFonts w:ascii="Arial" w:eastAsia="Arial" w:hAnsi="Arial" w:cs="Arial"/>
          <w:color w:val="010000"/>
          <w:sz w:val="20"/>
          <w:szCs w:val="20"/>
        </w:rPr>
      </w:pPr>
      <w:r>
        <w:rPr>
          <w:rFonts w:ascii="Arial" w:hAnsi="Arial"/>
          <w:color w:val="010000"/>
          <w:sz w:val="20"/>
        </w:rPr>
        <w:t>Approve the activity report 2023 and 2018-2023 term of the Supervisory Board</w:t>
      </w:r>
    </w:p>
    <w:p w:rsidR="00AE46B1" w:rsidRDefault="008E1970" w:rsidP="00B778DE">
      <w:pPr>
        <w:numPr>
          <w:ilvl w:val="0"/>
          <w:numId w:val="13"/>
        </w:numPr>
        <w:pBdr>
          <w:top w:val="nil"/>
          <w:left w:val="nil"/>
          <w:bottom w:val="nil"/>
          <w:right w:val="nil"/>
          <w:between w:val="nil"/>
        </w:pBdr>
        <w:tabs>
          <w:tab w:val="left" w:pos="432"/>
          <w:tab w:val="left" w:pos="477"/>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activity report 2023 and 2018-2023 term of the Board of Directors </w:t>
      </w:r>
    </w:p>
    <w:p w:rsidR="00AE46B1" w:rsidRDefault="008E1970" w:rsidP="00B778DE">
      <w:pPr>
        <w:pBdr>
          <w:top w:val="nil"/>
          <w:left w:val="nil"/>
          <w:bottom w:val="nil"/>
          <w:right w:val="nil"/>
          <w:between w:val="nil"/>
        </w:pBdr>
        <w:tabs>
          <w:tab w:val="left" w:pos="432"/>
          <w:tab w:val="left" w:pos="477"/>
        </w:tabs>
        <w:spacing w:after="120" w:line="360" w:lineRule="auto"/>
        <w:jc w:val="both"/>
        <w:rPr>
          <w:rFonts w:ascii="Arial" w:eastAsia="Arial" w:hAnsi="Arial" w:cs="Arial"/>
          <w:color w:val="010000"/>
          <w:sz w:val="20"/>
          <w:szCs w:val="20"/>
        </w:rPr>
      </w:pPr>
      <w:r>
        <w:rPr>
          <w:rFonts w:ascii="Arial" w:hAnsi="Arial"/>
          <w:color w:val="010000"/>
          <w:sz w:val="20"/>
        </w:rPr>
        <w:t>Article 4: Approve the Financial Statements and profit distribution plan for 2022, specifically:</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Key economic indicators achieved in 2022:</w:t>
      </w:r>
    </w:p>
    <w:p w:rsidR="00AE46B1" w:rsidRDefault="008E1970" w:rsidP="00B778DE">
      <w:pPr>
        <w:numPr>
          <w:ilvl w:val="0"/>
          <w:numId w:val="11"/>
        </w:numPr>
        <w:pBdr>
          <w:top w:val="nil"/>
          <w:left w:val="nil"/>
          <w:bottom w:val="nil"/>
          <w:right w:val="nil"/>
          <w:between w:val="nil"/>
        </w:pBdr>
        <w:tabs>
          <w:tab w:val="left" w:pos="432"/>
          <w:tab w:val="left" w:pos="788"/>
        </w:tabs>
        <w:spacing w:after="120" w:line="360" w:lineRule="auto"/>
        <w:jc w:val="both"/>
        <w:rPr>
          <w:rFonts w:ascii="Arial" w:eastAsia="Arial" w:hAnsi="Arial" w:cs="Arial"/>
          <w:color w:val="010000"/>
          <w:sz w:val="20"/>
          <w:szCs w:val="20"/>
        </w:rPr>
      </w:pPr>
      <w:r>
        <w:rPr>
          <w:rFonts w:ascii="Arial" w:hAnsi="Arial"/>
          <w:color w:val="010000"/>
          <w:sz w:val="20"/>
        </w:rPr>
        <w:t>Revenue on the consolidated Financial Statements: VND 638,216,963,809</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 profit after tax: VND 36,502,821,845</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Profit after tax for allocation: VND 36,502,821,845</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Dividend payment rate:</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12% implemented: VND 12,599,467,200</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Appropriation for bonus and welfare fund VND 5,475,423,277.</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Supplement the development investment fund from the remaining profit: VND 15,278,058,568.</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Remaining undistributed profit: 3,149,872,800</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5: Approve the Financial Statements and profit distribution plan for 2023, specifically:</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Key economic indicators achieved in 2023:</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Revenue on the consolidated Financial Statements: VND 712,969,057,839</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 profit after tax: VND 36,795,330,569</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Undistributed profit from 2022: VND 3,149,872,800</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Profit after tax for allocation: VND 36,795,330,569</w:t>
      </w:r>
    </w:p>
    <w:p w:rsidR="00AE46B1" w:rsidRDefault="008E1970" w:rsidP="00B778DE">
      <w:pPr>
        <w:numPr>
          <w:ilvl w:val="0"/>
          <w:numId w:val="1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Dividend payment rate:</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 planned: VND 15,749,340,000</w:t>
      </w:r>
    </w:p>
    <w:p w:rsidR="00AE46B1" w:rsidRDefault="008E1970" w:rsidP="00B778DE">
      <w:pPr>
        <w:numPr>
          <w:ilvl w:val="0"/>
          <w:numId w:val="11"/>
        </w:numPr>
        <w:pBdr>
          <w:top w:val="nil"/>
          <w:left w:val="nil"/>
          <w:bottom w:val="nil"/>
          <w:right w:val="nil"/>
          <w:between w:val="nil"/>
        </w:pBdr>
        <w:tabs>
          <w:tab w:val="left" w:pos="432"/>
          <w:tab w:val="left" w:pos="788"/>
        </w:tabs>
        <w:spacing w:after="120" w:line="360" w:lineRule="auto"/>
        <w:jc w:val="both"/>
        <w:rPr>
          <w:rFonts w:ascii="Arial" w:eastAsia="Arial" w:hAnsi="Arial" w:cs="Arial"/>
          <w:color w:val="010000"/>
          <w:sz w:val="20"/>
          <w:szCs w:val="20"/>
        </w:rPr>
      </w:pPr>
      <w:r>
        <w:rPr>
          <w:rFonts w:ascii="Arial" w:hAnsi="Arial"/>
          <w:color w:val="010000"/>
          <w:sz w:val="20"/>
        </w:rPr>
        <w:t>Supplement the bonus and welfare fund from the remaining profit: VND 24,195,863,369.</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6: Approve the Company's business plan 2024 and profit distribution as follows:</w:t>
      </w:r>
    </w:p>
    <w:p w:rsidR="00AE46B1" w:rsidRDefault="008E1970" w:rsidP="00B778DE">
      <w:pPr>
        <w:numPr>
          <w:ilvl w:val="0"/>
          <w:numId w:val="1"/>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Pr>
          <w:rFonts w:ascii="Arial" w:hAnsi="Arial"/>
          <w:color w:val="010000"/>
          <w:sz w:val="20"/>
        </w:rPr>
        <w:t>Business plan 2024</w:t>
      </w:r>
    </w:p>
    <w:p w:rsidR="00AE46B1" w:rsidRDefault="008E1970" w:rsidP="00B778DE">
      <w:pPr>
        <w:numPr>
          <w:ilvl w:val="0"/>
          <w:numId w:val="2"/>
        </w:numPr>
        <w:pBdr>
          <w:top w:val="nil"/>
          <w:left w:val="nil"/>
          <w:bottom w:val="nil"/>
          <w:right w:val="nil"/>
          <w:between w:val="nil"/>
        </w:pBdr>
        <w:tabs>
          <w:tab w:val="left" w:pos="432"/>
          <w:tab w:val="left" w:pos="806"/>
        </w:tabs>
        <w:spacing w:after="120" w:line="360" w:lineRule="auto"/>
        <w:jc w:val="both"/>
        <w:rPr>
          <w:rFonts w:ascii="Arial" w:eastAsia="Arial" w:hAnsi="Arial" w:cs="Arial"/>
          <w:color w:val="010000"/>
          <w:sz w:val="20"/>
          <w:szCs w:val="20"/>
        </w:rPr>
      </w:pPr>
      <w:r>
        <w:rPr>
          <w:rFonts w:ascii="Arial" w:hAnsi="Arial"/>
          <w:color w:val="010000"/>
          <w:sz w:val="20"/>
        </w:rPr>
        <w:t>Consolidated Financial Statements: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 revenue: VND 735 billion</w:t>
      </w:r>
    </w:p>
    <w:p w:rsidR="00AE46B1" w:rsidRDefault="008E1970" w:rsidP="00B778DE">
      <w:pPr>
        <w:numPr>
          <w:ilvl w:val="0"/>
          <w:numId w:val="11"/>
        </w:numPr>
        <w:pBdr>
          <w:top w:val="nil"/>
          <w:left w:val="nil"/>
          <w:bottom w:val="nil"/>
          <w:right w:val="nil"/>
          <w:between w:val="nil"/>
        </w:pBdr>
        <w:tabs>
          <w:tab w:val="left" w:pos="432"/>
          <w:tab w:val="left" w:pos="1130"/>
        </w:tabs>
        <w:spacing w:after="120" w:line="360" w:lineRule="auto"/>
        <w:jc w:val="both"/>
        <w:rPr>
          <w:rFonts w:ascii="Arial" w:eastAsia="Arial" w:hAnsi="Arial" w:cs="Arial"/>
          <w:color w:val="010000"/>
          <w:sz w:val="20"/>
          <w:szCs w:val="20"/>
        </w:rPr>
      </w:pPr>
      <w:r>
        <w:rPr>
          <w:rFonts w:ascii="Arial" w:hAnsi="Arial"/>
          <w:color w:val="010000"/>
          <w:sz w:val="20"/>
        </w:rPr>
        <w:t>Profit after tax: VND 35 billion</w:t>
      </w:r>
    </w:p>
    <w:p w:rsidR="00AE46B1" w:rsidRDefault="008E1970" w:rsidP="00B778DE">
      <w:pPr>
        <w:numPr>
          <w:ilvl w:val="0"/>
          <w:numId w:val="2"/>
        </w:numPr>
        <w:pBdr>
          <w:top w:val="nil"/>
          <w:left w:val="nil"/>
          <w:bottom w:val="nil"/>
          <w:right w:val="nil"/>
          <w:between w:val="nil"/>
        </w:pBdr>
        <w:tabs>
          <w:tab w:val="left" w:pos="432"/>
          <w:tab w:val="left" w:pos="813"/>
        </w:tabs>
        <w:spacing w:after="120" w:line="360" w:lineRule="auto"/>
        <w:jc w:val="both"/>
        <w:rPr>
          <w:rFonts w:ascii="Arial" w:eastAsia="Arial" w:hAnsi="Arial" w:cs="Arial"/>
          <w:color w:val="010000"/>
          <w:sz w:val="20"/>
          <w:szCs w:val="20"/>
        </w:rPr>
      </w:pPr>
      <w:r>
        <w:rPr>
          <w:rFonts w:ascii="Arial" w:hAnsi="Arial"/>
          <w:color w:val="010000"/>
          <w:sz w:val="20"/>
        </w:rPr>
        <w:t>In the Combined Financial Statements:</w:t>
      </w:r>
    </w:p>
    <w:p w:rsidR="00AE46B1" w:rsidRDefault="008E1970" w:rsidP="00B778DE">
      <w:pPr>
        <w:numPr>
          <w:ilvl w:val="0"/>
          <w:numId w:val="11"/>
        </w:numPr>
        <w:pBdr>
          <w:top w:val="nil"/>
          <w:left w:val="nil"/>
          <w:bottom w:val="nil"/>
          <w:right w:val="nil"/>
          <w:between w:val="nil"/>
        </w:pBdr>
        <w:tabs>
          <w:tab w:val="left" w:pos="432"/>
          <w:tab w:val="left" w:pos="1130"/>
        </w:tabs>
        <w:spacing w:after="120" w:line="360" w:lineRule="auto"/>
        <w:jc w:val="both"/>
        <w:rPr>
          <w:rFonts w:ascii="Arial" w:eastAsia="Arial" w:hAnsi="Arial" w:cs="Arial"/>
          <w:color w:val="010000"/>
          <w:sz w:val="20"/>
          <w:szCs w:val="20"/>
        </w:rPr>
      </w:pPr>
      <w:r>
        <w:rPr>
          <w:rFonts w:ascii="Arial" w:hAnsi="Arial"/>
          <w:color w:val="010000"/>
          <w:sz w:val="20"/>
        </w:rPr>
        <w:t>Total revenue: VND 385 billion</w:t>
      </w:r>
    </w:p>
    <w:p w:rsidR="00AE46B1" w:rsidRDefault="008E1970" w:rsidP="00B778DE">
      <w:pPr>
        <w:numPr>
          <w:ilvl w:val="0"/>
          <w:numId w:val="11"/>
        </w:numPr>
        <w:pBdr>
          <w:top w:val="nil"/>
          <w:left w:val="nil"/>
          <w:bottom w:val="nil"/>
          <w:right w:val="nil"/>
          <w:between w:val="nil"/>
        </w:pBdr>
        <w:tabs>
          <w:tab w:val="left" w:pos="432"/>
          <w:tab w:val="left" w:pos="1130"/>
        </w:tabs>
        <w:spacing w:after="120" w:line="360" w:lineRule="auto"/>
        <w:jc w:val="both"/>
        <w:rPr>
          <w:rFonts w:ascii="Arial" w:eastAsia="Arial" w:hAnsi="Arial" w:cs="Arial"/>
          <w:color w:val="010000"/>
          <w:sz w:val="20"/>
          <w:szCs w:val="20"/>
        </w:rPr>
      </w:pPr>
      <w:r>
        <w:rPr>
          <w:rFonts w:ascii="Arial" w:hAnsi="Arial"/>
          <w:color w:val="010000"/>
          <w:sz w:val="20"/>
        </w:rPr>
        <w:t>Profit after tax: VND 34 billion</w:t>
      </w:r>
    </w:p>
    <w:p w:rsidR="00AE46B1" w:rsidRDefault="008E1970" w:rsidP="00B778DE">
      <w:pPr>
        <w:numPr>
          <w:ilvl w:val="0"/>
          <w:numId w:val="2"/>
        </w:numPr>
        <w:pBdr>
          <w:top w:val="nil"/>
          <w:left w:val="nil"/>
          <w:bottom w:val="nil"/>
          <w:right w:val="nil"/>
          <w:between w:val="nil"/>
        </w:pBdr>
        <w:tabs>
          <w:tab w:val="left" w:pos="432"/>
          <w:tab w:val="left" w:pos="813"/>
        </w:tabs>
        <w:spacing w:after="120" w:line="360" w:lineRule="auto"/>
        <w:jc w:val="both"/>
        <w:rPr>
          <w:rFonts w:ascii="Arial" w:eastAsia="Arial" w:hAnsi="Arial" w:cs="Arial"/>
          <w:color w:val="010000"/>
          <w:sz w:val="20"/>
          <w:szCs w:val="20"/>
        </w:rPr>
      </w:pPr>
      <w:r>
        <w:rPr>
          <w:rFonts w:ascii="Arial" w:hAnsi="Arial"/>
          <w:color w:val="010000"/>
          <w:sz w:val="20"/>
        </w:rPr>
        <w:t>Minimum dividend on charter capital: 12%</w:t>
      </w:r>
    </w:p>
    <w:p w:rsidR="00AE46B1" w:rsidRDefault="008E1970" w:rsidP="00B778DE">
      <w:pPr>
        <w:numPr>
          <w:ilvl w:val="0"/>
          <w:numId w:val="1"/>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Pr>
          <w:rFonts w:ascii="Arial" w:hAnsi="Arial"/>
          <w:color w:val="010000"/>
          <w:sz w:val="20"/>
        </w:rPr>
        <w:t>Principles for allocating profit in 2024</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Based on the audited profit after tax of the General Financial Statements 2024:</w:t>
      </w:r>
    </w:p>
    <w:p w:rsidR="00AE46B1" w:rsidRDefault="008E1970" w:rsidP="00B778DE">
      <w:pPr>
        <w:numPr>
          <w:ilvl w:val="0"/>
          <w:numId w:val="10"/>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Allocate and pay corporate income tax as prescribed by law</w:t>
      </w:r>
    </w:p>
    <w:p w:rsidR="00AE46B1" w:rsidRDefault="008E1970" w:rsidP="00B778DE">
      <w:pPr>
        <w:numPr>
          <w:ilvl w:val="0"/>
          <w:numId w:val="10"/>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Allocate profit after tax: To be decided by the Annual </w:t>
      </w:r>
      <w:r w:rsidR="00B778DE">
        <w:rPr>
          <w:rFonts w:ascii="Arial" w:hAnsi="Arial"/>
          <w:color w:val="010000"/>
          <w:sz w:val="20"/>
        </w:rPr>
        <w:t>General Meeting</w:t>
      </w:r>
      <w:r>
        <w:rPr>
          <w:rFonts w:ascii="Arial" w:hAnsi="Arial"/>
          <w:color w:val="010000"/>
          <w:sz w:val="20"/>
        </w:rPr>
        <w:t xml:space="preserve"> 2025</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7: Approve the share buyback, plan to buy back shares to reduce charter capital, and procedures for registering the reduction of charter capital with the business registration agency</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Buy back 952,250 shares of </w:t>
      </w:r>
      <w:proofErr w:type="spellStart"/>
      <w:r>
        <w:rPr>
          <w:rFonts w:ascii="Arial" w:hAnsi="Arial"/>
          <w:color w:val="010000"/>
          <w:sz w:val="20"/>
        </w:rPr>
        <w:t>Vinacontrol</w:t>
      </w:r>
      <w:proofErr w:type="spellEnd"/>
      <w:r>
        <w:rPr>
          <w:rFonts w:ascii="Arial" w:hAnsi="Arial"/>
          <w:color w:val="010000"/>
          <w:sz w:val="20"/>
        </w:rPr>
        <w:t xml:space="preserve"> Group Corporation to reduce charter capital. Detailed contents are specified in Appendix I: Share buyback and plan to buy back shares to reduce charter capital.</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8: Approve the amendment and promulgation of the Company's Charter</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Amend the content on the composition and term of the Board of Directors and Supervisory Board according to the details in Appendix II: Amendments to the Company's Charter (regarding the composition and term of the Board of Directors and Supervisory Board)</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9: Change the Company's registered business lines and amend the corresponding content on business lines in the Company's Charter</w:t>
      </w:r>
    </w:p>
    <w:p w:rsidR="00AE46B1" w:rsidRDefault="008E1970" w:rsidP="00B778DE">
      <w:pPr>
        <w:numPr>
          <w:ilvl w:val="0"/>
          <w:numId w:val="3"/>
        </w:numPr>
        <w:pBdr>
          <w:top w:val="nil"/>
          <w:left w:val="nil"/>
          <w:bottom w:val="nil"/>
          <w:right w:val="nil"/>
          <w:between w:val="nil"/>
        </w:pBdr>
        <w:tabs>
          <w:tab w:val="left" w:pos="432"/>
          <w:tab w:val="left" w:pos="538"/>
        </w:tabs>
        <w:spacing w:after="120" w:line="360" w:lineRule="auto"/>
        <w:jc w:val="both"/>
        <w:rPr>
          <w:rFonts w:ascii="Arial" w:eastAsia="Arial" w:hAnsi="Arial" w:cs="Arial"/>
          <w:color w:val="010000"/>
          <w:sz w:val="20"/>
          <w:szCs w:val="20"/>
        </w:rPr>
      </w:pPr>
      <w:r>
        <w:rPr>
          <w:rFonts w:ascii="Arial" w:hAnsi="Arial"/>
          <w:color w:val="010000"/>
          <w:sz w:val="20"/>
        </w:rPr>
        <w:t>Change the detailed content of 3 industry codes: 5229, 7490, 8559. The details of the amended business lines are specifically listed in Appendix III: List of amended detailed business lines. Other industry codes remain unchanged in content.</w:t>
      </w:r>
    </w:p>
    <w:p w:rsidR="00AE46B1" w:rsidRDefault="008E1970" w:rsidP="00B778DE">
      <w:pPr>
        <w:numPr>
          <w:ilvl w:val="0"/>
          <w:numId w:val="3"/>
        </w:numPr>
        <w:pBdr>
          <w:top w:val="nil"/>
          <w:left w:val="nil"/>
          <w:bottom w:val="nil"/>
          <w:right w:val="nil"/>
          <w:between w:val="nil"/>
        </w:pBdr>
        <w:tabs>
          <w:tab w:val="left" w:pos="432"/>
          <w:tab w:val="left" w:pos="546"/>
        </w:tabs>
        <w:spacing w:after="120" w:line="360" w:lineRule="auto"/>
        <w:jc w:val="both"/>
        <w:rPr>
          <w:rFonts w:ascii="Arial" w:eastAsia="Arial" w:hAnsi="Arial" w:cs="Arial"/>
          <w:color w:val="010000"/>
          <w:sz w:val="20"/>
          <w:szCs w:val="20"/>
        </w:rPr>
      </w:pPr>
      <w:r>
        <w:rPr>
          <w:rFonts w:ascii="Arial" w:hAnsi="Arial"/>
          <w:color w:val="010000"/>
          <w:sz w:val="20"/>
        </w:rPr>
        <w:t xml:space="preserve">Agree on amending </w:t>
      </w:r>
      <w:r w:rsidR="00B778DE">
        <w:rPr>
          <w:rFonts w:ascii="Arial" w:hAnsi="Arial"/>
          <w:color w:val="010000"/>
          <w:sz w:val="20"/>
        </w:rPr>
        <w:t>Section</w:t>
      </w:r>
      <w:r>
        <w:rPr>
          <w:rFonts w:ascii="Arial" w:hAnsi="Arial"/>
          <w:color w:val="010000"/>
          <w:sz w:val="20"/>
        </w:rPr>
        <w:t xml:space="preserve"> 4.1, Article 4 of the Company's Charter and the order of the corresponding clauses to the change in the Company's business lines.</w:t>
      </w:r>
    </w:p>
    <w:p w:rsidR="00AE46B1" w:rsidRDefault="008E1970" w:rsidP="00B778DE">
      <w:pPr>
        <w:numPr>
          <w:ilvl w:val="0"/>
          <w:numId w:val="3"/>
        </w:numPr>
        <w:pBdr>
          <w:top w:val="nil"/>
          <w:left w:val="nil"/>
          <w:bottom w:val="nil"/>
          <w:right w:val="nil"/>
          <w:between w:val="nil"/>
        </w:pBdr>
        <w:tabs>
          <w:tab w:val="left" w:pos="432"/>
          <w:tab w:val="left" w:pos="542"/>
        </w:tabs>
        <w:spacing w:after="120" w:line="360" w:lineRule="auto"/>
        <w:jc w:val="both"/>
        <w:rPr>
          <w:rFonts w:ascii="Arial" w:eastAsia="Arial" w:hAnsi="Arial" w:cs="Arial"/>
          <w:color w:val="010000"/>
          <w:sz w:val="20"/>
          <w:szCs w:val="20"/>
        </w:rPr>
      </w:pPr>
      <w:r>
        <w:rPr>
          <w:rFonts w:ascii="Arial" w:hAnsi="Arial"/>
          <w:color w:val="010000"/>
          <w:sz w:val="20"/>
        </w:rPr>
        <w:t xml:space="preserve">Authorize the Board of Directors to review and meet all legal conditions to implement the above </w:t>
      </w:r>
      <w:r>
        <w:rPr>
          <w:rFonts w:ascii="Arial" w:hAnsi="Arial"/>
          <w:color w:val="010000"/>
          <w:sz w:val="20"/>
        </w:rPr>
        <w:lastRenderedPageBreak/>
        <w:t>changes in business lines on the basis of compliance with the Enterprise Law 2020, other specialized legal documents related to the industry, and the General Mandate.</w:t>
      </w:r>
    </w:p>
    <w:p w:rsidR="00AE46B1" w:rsidRDefault="008E1970" w:rsidP="00B778DE">
      <w:pPr>
        <w:numPr>
          <w:ilvl w:val="0"/>
          <w:numId w:val="3"/>
        </w:numPr>
        <w:pBdr>
          <w:top w:val="nil"/>
          <w:left w:val="nil"/>
          <w:bottom w:val="nil"/>
          <w:right w:val="nil"/>
          <w:between w:val="nil"/>
        </w:pBdr>
        <w:tabs>
          <w:tab w:val="left" w:pos="432"/>
          <w:tab w:val="left" w:pos="546"/>
        </w:tabs>
        <w:spacing w:after="120" w:line="360" w:lineRule="auto"/>
        <w:jc w:val="both"/>
        <w:rPr>
          <w:rFonts w:ascii="Arial" w:eastAsia="Arial" w:hAnsi="Arial" w:cs="Arial"/>
          <w:color w:val="010000"/>
          <w:sz w:val="20"/>
          <w:szCs w:val="20"/>
        </w:rPr>
      </w:pPr>
      <w:r>
        <w:rPr>
          <w:rFonts w:ascii="Arial" w:hAnsi="Arial"/>
          <w:color w:val="010000"/>
          <w:sz w:val="20"/>
        </w:rPr>
        <w:t xml:space="preserve">Authorize the </w:t>
      </w:r>
      <w:r w:rsidR="00B778DE">
        <w:rPr>
          <w:rFonts w:ascii="Arial" w:hAnsi="Arial"/>
          <w:color w:val="010000"/>
          <w:sz w:val="20"/>
        </w:rPr>
        <w:t>Managing Director</w:t>
      </w:r>
      <w:r>
        <w:rPr>
          <w:rFonts w:ascii="Arial" w:hAnsi="Arial"/>
          <w:color w:val="010000"/>
          <w:sz w:val="20"/>
        </w:rPr>
        <w:t xml:space="preserve"> (Legal representative of the Company) to carry out procedures related to changing the above contents on the enterprise registration certificate with the competent State agency in accordance with the General Mandate and relevant legal regulations.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10: Approve the remuneration fo</w:t>
      </w:r>
      <w:r w:rsidR="00B778DE">
        <w:rPr>
          <w:rFonts w:ascii="Arial" w:hAnsi="Arial"/>
          <w:color w:val="010000"/>
          <w:sz w:val="20"/>
        </w:rPr>
        <w:t>r the Board of Directors and</w:t>
      </w:r>
      <w:bookmarkStart w:id="1" w:name="_GoBack"/>
      <w:bookmarkEnd w:id="1"/>
      <w:r>
        <w:rPr>
          <w:rFonts w:ascii="Arial" w:hAnsi="Arial"/>
          <w:color w:val="010000"/>
          <w:sz w:val="20"/>
        </w:rPr>
        <w:t xml:space="preserve"> Supervisory Board in 2023:</w:t>
      </w:r>
    </w:p>
    <w:p w:rsidR="00AE46B1" w:rsidRDefault="008E1970" w:rsidP="00B778DE">
      <w:pPr>
        <w:numPr>
          <w:ilvl w:val="0"/>
          <w:numId w:val="4"/>
        </w:numPr>
        <w:pBdr>
          <w:top w:val="nil"/>
          <w:left w:val="nil"/>
          <w:bottom w:val="nil"/>
          <w:right w:val="nil"/>
          <w:between w:val="nil"/>
        </w:pBdr>
        <w:tabs>
          <w:tab w:val="left" w:pos="432"/>
          <w:tab w:val="left" w:pos="628"/>
        </w:tabs>
        <w:spacing w:after="120" w:line="360" w:lineRule="auto"/>
        <w:jc w:val="both"/>
        <w:rPr>
          <w:rFonts w:ascii="Arial" w:eastAsia="Arial" w:hAnsi="Arial" w:cs="Arial"/>
          <w:color w:val="010000"/>
          <w:sz w:val="20"/>
          <w:szCs w:val="20"/>
        </w:rPr>
      </w:pPr>
      <w:r>
        <w:rPr>
          <w:rFonts w:ascii="Arial" w:hAnsi="Arial"/>
          <w:color w:val="010000"/>
          <w:sz w:val="20"/>
        </w:rPr>
        <w:t>Total remuneration of the Board of Directors: VND 500 Million/year</w:t>
      </w:r>
    </w:p>
    <w:p w:rsidR="00AE46B1" w:rsidRDefault="008E1970" w:rsidP="00B778DE">
      <w:pPr>
        <w:numPr>
          <w:ilvl w:val="0"/>
          <w:numId w:val="4"/>
        </w:numPr>
        <w:pBdr>
          <w:top w:val="nil"/>
          <w:left w:val="nil"/>
          <w:bottom w:val="nil"/>
          <w:right w:val="nil"/>
          <w:between w:val="nil"/>
        </w:pBdr>
        <w:tabs>
          <w:tab w:val="left" w:pos="432"/>
          <w:tab w:val="left" w:pos="628"/>
        </w:tabs>
        <w:spacing w:after="120" w:line="360" w:lineRule="auto"/>
        <w:jc w:val="both"/>
        <w:rPr>
          <w:rFonts w:ascii="Arial" w:eastAsia="Arial" w:hAnsi="Arial" w:cs="Arial"/>
          <w:color w:val="010000"/>
          <w:sz w:val="20"/>
          <w:szCs w:val="20"/>
        </w:rPr>
      </w:pPr>
      <w:r>
        <w:rPr>
          <w:rFonts w:ascii="Arial" w:hAnsi="Arial"/>
          <w:color w:val="010000"/>
          <w:sz w:val="20"/>
        </w:rPr>
        <w:t>Total remuneration of the Supervisory Board: VND 200 Million/year</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above remuneration expenses are included in the Company's business expenses in accordance with current legal regulations.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11: Approve the remuneration for the Board of Directors and the Supervisory Board in 2024:</w:t>
      </w:r>
    </w:p>
    <w:p w:rsidR="00AE46B1" w:rsidRDefault="008E1970" w:rsidP="00B778DE">
      <w:pPr>
        <w:numPr>
          <w:ilvl w:val="0"/>
          <w:numId w:val="6"/>
        </w:numPr>
        <w:pBdr>
          <w:top w:val="nil"/>
          <w:left w:val="nil"/>
          <w:bottom w:val="nil"/>
          <w:right w:val="nil"/>
          <w:between w:val="nil"/>
        </w:pBdr>
        <w:tabs>
          <w:tab w:val="left" w:pos="432"/>
          <w:tab w:val="left" w:pos="625"/>
        </w:tabs>
        <w:spacing w:after="120" w:line="360" w:lineRule="auto"/>
        <w:jc w:val="both"/>
        <w:rPr>
          <w:rFonts w:ascii="Arial" w:eastAsia="Arial" w:hAnsi="Arial" w:cs="Arial"/>
          <w:color w:val="010000"/>
          <w:sz w:val="20"/>
          <w:szCs w:val="20"/>
        </w:rPr>
      </w:pPr>
      <w:r>
        <w:rPr>
          <w:rFonts w:ascii="Arial" w:hAnsi="Arial"/>
          <w:color w:val="010000"/>
          <w:sz w:val="20"/>
        </w:rPr>
        <w:t>Total remuneration of the Board of Directors: VND 700 Million/year</w:t>
      </w:r>
    </w:p>
    <w:p w:rsidR="00AE46B1" w:rsidRDefault="008E1970" w:rsidP="00B778DE">
      <w:pPr>
        <w:numPr>
          <w:ilvl w:val="0"/>
          <w:numId w:val="6"/>
        </w:numPr>
        <w:pBdr>
          <w:top w:val="nil"/>
          <w:left w:val="nil"/>
          <w:bottom w:val="nil"/>
          <w:right w:val="nil"/>
          <w:between w:val="nil"/>
        </w:pBdr>
        <w:tabs>
          <w:tab w:val="left" w:pos="432"/>
          <w:tab w:val="left" w:pos="632"/>
        </w:tabs>
        <w:spacing w:after="120" w:line="360" w:lineRule="auto"/>
        <w:jc w:val="both"/>
        <w:rPr>
          <w:rFonts w:ascii="Arial" w:eastAsia="Arial" w:hAnsi="Arial" w:cs="Arial"/>
          <w:color w:val="010000"/>
          <w:sz w:val="20"/>
          <w:szCs w:val="20"/>
        </w:rPr>
      </w:pPr>
      <w:r>
        <w:rPr>
          <w:rFonts w:ascii="Arial" w:hAnsi="Arial"/>
          <w:color w:val="010000"/>
          <w:sz w:val="20"/>
        </w:rPr>
        <w:t>Total remuneration of the Supervisory Board: VND 200 Million/year</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above remuneration expenses are included in the Company's business expenses in accordance with current legal regulations.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12: Assign the Company's Board of Directors to select one of the following four companies as the independent audit company to audit the Company's Financial Statements 2024:</w:t>
      </w:r>
    </w:p>
    <w:p w:rsidR="00AE46B1" w:rsidRDefault="008E1970" w:rsidP="00B778DE">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Deloitte Vietnam Audit Company Limited</w:t>
      </w:r>
    </w:p>
    <w:p w:rsidR="00AE46B1" w:rsidRDefault="008E1970" w:rsidP="00B778DE">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Ernst &amp; Young Vietnam Limited</w:t>
      </w:r>
    </w:p>
    <w:p w:rsidR="00AE46B1" w:rsidRDefault="008E1970" w:rsidP="00B778DE">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KPMG Limited.</w:t>
      </w:r>
    </w:p>
    <w:p w:rsidR="00AE46B1" w:rsidRDefault="008E1970" w:rsidP="00B778DE">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PwC (Vietnam) Limited</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13: Approve the term of the Board of Directors/Supervisory Board, the number of members of the Board of Directors/Supervisory Board, and the list of candidates for the Board of Directors and Supervisory Board for the 2024-2026 term:</w:t>
      </w:r>
    </w:p>
    <w:p w:rsidR="00AE46B1" w:rsidRDefault="008E1970" w:rsidP="00B778DE">
      <w:pPr>
        <w:numPr>
          <w:ilvl w:val="0"/>
          <w:numId w:val="8"/>
        </w:numPr>
        <w:pBdr>
          <w:top w:val="nil"/>
          <w:left w:val="nil"/>
          <w:bottom w:val="nil"/>
          <w:right w:val="nil"/>
          <w:between w:val="nil"/>
        </w:pBdr>
        <w:tabs>
          <w:tab w:val="left" w:pos="432"/>
          <w:tab w:val="left" w:pos="628"/>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term of the Board of Directors/Supervisory Board and the number of members of the Board of Directors/Supervisory Board </w:t>
      </w:r>
    </w:p>
    <w:p w:rsidR="00AE46B1" w:rsidRDefault="008E1970" w:rsidP="00B778DE">
      <w:pPr>
        <w:numPr>
          <w:ilvl w:val="0"/>
          <w:numId w:val="5"/>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Term of the Board of Directors/Supervisory Board: 02 years from 2024 - 2026</w:t>
      </w:r>
    </w:p>
    <w:p w:rsidR="00AE46B1" w:rsidRDefault="008E1970" w:rsidP="00B778DE">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members of the Board of Directors: 07 person</w:t>
      </w:r>
    </w:p>
    <w:p w:rsidR="00AE46B1" w:rsidRDefault="008E1970" w:rsidP="00B778DE">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member of the Supervisory Board: 03 person</w:t>
      </w:r>
    </w:p>
    <w:p w:rsidR="00AE46B1" w:rsidRDefault="008E1970" w:rsidP="00B778DE">
      <w:pPr>
        <w:numPr>
          <w:ilvl w:val="0"/>
          <w:numId w:val="8"/>
        </w:numPr>
        <w:pBdr>
          <w:top w:val="nil"/>
          <w:left w:val="nil"/>
          <w:bottom w:val="nil"/>
          <w:right w:val="nil"/>
          <w:between w:val="nil"/>
        </w:pBdr>
        <w:tabs>
          <w:tab w:val="left" w:pos="432"/>
          <w:tab w:val="left" w:pos="632"/>
        </w:tabs>
        <w:spacing w:after="120" w:line="360" w:lineRule="auto"/>
        <w:jc w:val="both"/>
        <w:rPr>
          <w:rFonts w:ascii="Arial" w:eastAsia="Arial" w:hAnsi="Arial" w:cs="Arial"/>
          <w:color w:val="010000"/>
          <w:sz w:val="20"/>
          <w:szCs w:val="20"/>
        </w:rPr>
      </w:pPr>
      <w:r>
        <w:rPr>
          <w:rFonts w:ascii="Arial" w:hAnsi="Arial"/>
          <w:color w:val="010000"/>
          <w:sz w:val="20"/>
        </w:rPr>
        <w:t>Approve the list of candidates for the Board of Directors and Supervisory Board</w:t>
      </w:r>
    </w:p>
    <w:p w:rsidR="00AE46B1" w:rsidRDefault="008E1970" w:rsidP="00B778DE">
      <w:pPr>
        <w:numPr>
          <w:ilvl w:val="0"/>
          <w:numId w:val="9"/>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List of candidates for the Board of Directors</w:t>
      </w:r>
    </w:p>
    <w:p w:rsidR="00AE46B1" w:rsidRDefault="008E1970" w:rsidP="00B778DE">
      <w:pPr>
        <w:numPr>
          <w:ilvl w:val="0"/>
          <w:numId w:val="9"/>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List of candidates for the Supervisory Board</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Article 14: Election of members of the Board of Directors and Supervisory Board for the 2024-2026 term, with the following results:</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List of elected members of the Board of Directors in the term of 2024-2026.</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8049"/>
      </w:tblGrid>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No.</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Full name</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BUI DUY CHINH</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MAI TIEN DUNG</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Ms. DUONG THANH HUYEN</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PHAM NGOC DUNG</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PHAN VAN HUNG</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6</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LE NGOC LOI</w:t>
            </w:r>
          </w:p>
        </w:tc>
      </w:tr>
      <w:tr w:rsidR="00AE46B1">
        <w:tc>
          <w:tcPr>
            <w:tcW w:w="968"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w:t>
            </w:r>
          </w:p>
        </w:tc>
        <w:tc>
          <w:tcPr>
            <w:tcW w:w="8049"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PHUNG TAN PHU</w:t>
            </w:r>
          </w:p>
        </w:tc>
      </w:tr>
    </w:tbl>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List of elected members of the Supervisory Board in the term of 2024-2026.</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8056"/>
      </w:tblGrid>
      <w:tr w:rsidR="00AE46B1">
        <w:tc>
          <w:tcPr>
            <w:tcW w:w="961"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No.</w:t>
            </w:r>
          </w:p>
        </w:tc>
        <w:tc>
          <w:tcPr>
            <w:tcW w:w="8056"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Full name</w:t>
            </w:r>
          </w:p>
        </w:tc>
      </w:tr>
      <w:tr w:rsidR="00AE46B1">
        <w:tc>
          <w:tcPr>
            <w:tcW w:w="961"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8056"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NGUYEN QUOC MINH</w:t>
            </w:r>
          </w:p>
        </w:tc>
      </w:tr>
      <w:tr w:rsidR="00AE46B1">
        <w:tc>
          <w:tcPr>
            <w:tcW w:w="961"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8056"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Ms. NGUYEN THI THUY NGAN</w:t>
            </w:r>
          </w:p>
        </w:tc>
      </w:tr>
      <w:tr w:rsidR="00AE46B1">
        <w:tc>
          <w:tcPr>
            <w:tcW w:w="961"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8056" w:type="dxa"/>
            <w:shd w:val="clear" w:color="auto" w:fill="auto"/>
            <w:vAlign w:val="center"/>
          </w:tcPr>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Mr. CAO QUY LAN</w:t>
            </w:r>
          </w:p>
        </w:tc>
      </w:tr>
    </w:tbl>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15: The General Meeting unanimously approves the entire contents of the above General Mandate.</w:t>
      </w:r>
    </w:p>
    <w:p w:rsidR="00AE46B1" w:rsidRDefault="008E1970"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assigns the Board of Directors of the Company to implement the contents of the General Mandate approved by the </w:t>
      </w:r>
      <w:r w:rsidR="00B778DE">
        <w:rPr>
          <w:rFonts w:ascii="Arial" w:hAnsi="Arial"/>
          <w:color w:val="010000"/>
          <w:sz w:val="20"/>
        </w:rPr>
        <w:t>General Meeting</w:t>
      </w:r>
      <w:r>
        <w:rPr>
          <w:rFonts w:ascii="Arial" w:hAnsi="Arial"/>
          <w:color w:val="010000"/>
          <w:sz w:val="20"/>
        </w:rPr>
        <w:t>.</w:t>
      </w:r>
    </w:p>
    <w:p w:rsidR="00AE46B1" w:rsidRDefault="00AE46B1" w:rsidP="00B778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AE46B1">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397"/>
    <w:multiLevelType w:val="multilevel"/>
    <w:tmpl w:val="6A22F5B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2F835F1"/>
    <w:multiLevelType w:val="multilevel"/>
    <w:tmpl w:val="16EEFD48"/>
    <w:lvl w:ilvl="0">
      <w:start w:val="1"/>
      <w:numFmt w:val="decimal"/>
      <w:lvlText w:val="3.%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CAD22B2"/>
    <w:multiLevelType w:val="multilevel"/>
    <w:tmpl w:val="984C2E46"/>
    <w:lvl w:ilvl="0">
      <w:start w:val="1"/>
      <w:numFmt w:val="decimal"/>
      <w:lvlText w:val="6.%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392CE4"/>
    <w:multiLevelType w:val="multilevel"/>
    <w:tmpl w:val="C1C6849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EC17A35"/>
    <w:multiLevelType w:val="multilevel"/>
    <w:tmpl w:val="45761370"/>
    <w:lvl w:ilvl="0">
      <w:start w:val="1"/>
      <w:numFmt w:val="decimal"/>
      <w:lvlText w:val="13.%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7FE7D61"/>
    <w:multiLevelType w:val="multilevel"/>
    <w:tmpl w:val="9FAE67A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4B11AB4"/>
    <w:multiLevelType w:val="multilevel"/>
    <w:tmpl w:val="4A70FE64"/>
    <w:lvl w:ilvl="0">
      <w:start w:val="1"/>
      <w:numFmt w:val="decimal"/>
      <w:lvlText w:val="10.%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4E03B54"/>
    <w:multiLevelType w:val="multilevel"/>
    <w:tmpl w:val="AE50AC2A"/>
    <w:lvl w:ilvl="0">
      <w:start w:val="1"/>
      <w:numFmt w:val="decimal"/>
      <w:lvlText w:val="2.%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5A232AB"/>
    <w:multiLevelType w:val="multilevel"/>
    <w:tmpl w:val="ED4ADB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CD91603"/>
    <w:multiLevelType w:val="multilevel"/>
    <w:tmpl w:val="4A1A5A12"/>
    <w:lvl w:ilvl="0">
      <w:start w:val="1"/>
      <w:numFmt w:val="decimal"/>
      <w:lvlText w:val="9.%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E84192B"/>
    <w:multiLevelType w:val="multilevel"/>
    <w:tmpl w:val="73EC86A8"/>
    <w:lvl w:ilvl="0">
      <w:start w:val="1"/>
      <w:numFmt w:val="decimal"/>
      <w:lvlText w:val="1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1656D44"/>
    <w:multiLevelType w:val="multilevel"/>
    <w:tmpl w:val="22C4165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ADA4D35"/>
    <w:multiLevelType w:val="multilevel"/>
    <w:tmpl w:val="6EBEE3B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5"/>
  </w:num>
  <w:num w:numId="3">
    <w:abstractNumId w:val="9"/>
  </w:num>
  <w:num w:numId="4">
    <w:abstractNumId w:val="6"/>
  </w:num>
  <w:num w:numId="5">
    <w:abstractNumId w:val="8"/>
  </w:num>
  <w:num w:numId="6">
    <w:abstractNumId w:val="10"/>
  </w:num>
  <w:num w:numId="7">
    <w:abstractNumId w:val="3"/>
  </w:num>
  <w:num w:numId="8">
    <w:abstractNumId w:val="4"/>
  </w:num>
  <w:num w:numId="9">
    <w:abstractNumId w:val="0"/>
  </w:num>
  <w:num w:numId="10">
    <w:abstractNumId w:val="12"/>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1"/>
    <w:rsid w:val="008E1970"/>
    <w:rsid w:val="00AE46B1"/>
    <w:rsid w:val="00B7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12E05"/>
  <w15:docId w15:val="{6027B9FE-23E2-498A-A244-3AD6FEB1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42"/>
      <w:szCs w:val="42"/>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color w:val="363C3B"/>
      <w:sz w:val="30"/>
      <w:szCs w:val="30"/>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color w:val="363C3B"/>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E86367"/>
      <w:sz w:val="88"/>
      <w:szCs w:val="8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360"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33" w:lineRule="auto"/>
      <w:ind w:left="220" w:firstLine="2920"/>
    </w:pPr>
    <w:rPr>
      <w:rFonts w:ascii="Arial" w:eastAsia="Arial" w:hAnsi="Arial" w:cs="Arial"/>
      <w:sz w:val="13"/>
      <w:szCs w:val="13"/>
    </w:rPr>
  </w:style>
  <w:style w:type="paragraph" w:customStyle="1" w:styleId="Heading21">
    <w:name w:val="Heading #2"/>
    <w:basedOn w:val="Normal"/>
    <w:link w:val="Heading20"/>
    <w:pPr>
      <w:spacing w:line="180" w:lineRule="auto"/>
      <w:ind w:left="2760"/>
      <w:outlineLvl w:val="1"/>
    </w:pPr>
    <w:rPr>
      <w:rFonts w:ascii="Arial" w:eastAsia="Arial" w:hAnsi="Arial" w:cs="Arial"/>
      <w:sz w:val="42"/>
      <w:szCs w:val="42"/>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color w:val="363C3B"/>
      <w:sz w:val="30"/>
      <w:szCs w:val="30"/>
    </w:rPr>
  </w:style>
  <w:style w:type="paragraph" w:customStyle="1" w:styleId="Heading41">
    <w:name w:val="Heading #4"/>
    <w:basedOn w:val="Normal"/>
    <w:link w:val="Heading40"/>
    <w:pPr>
      <w:ind w:left="1340"/>
      <w:outlineLvl w:val="3"/>
    </w:pPr>
    <w:rPr>
      <w:rFonts w:ascii="Times New Roman" w:eastAsia="Times New Roman" w:hAnsi="Times New Roman" w:cs="Times New Roman"/>
      <w:b/>
      <w:bCs/>
      <w:color w:val="363C3B"/>
      <w:sz w:val="28"/>
      <w:szCs w:val="28"/>
    </w:rPr>
  </w:style>
  <w:style w:type="paragraph" w:customStyle="1" w:styleId="Other0">
    <w:name w:val="Other"/>
    <w:basedOn w:val="Normal"/>
    <w:link w:val="Other"/>
    <w:pPr>
      <w:spacing w:line="360"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180" w:lineRule="auto"/>
      <w:ind w:left="1200"/>
      <w:outlineLvl w:val="0"/>
    </w:pPr>
    <w:rPr>
      <w:rFonts w:ascii="Times New Roman" w:eastAsia="Times New Roman" w:hAnsi="Times New Roman" w:cs="Times New Roman"/>
      <w:color w:val="E86367"/>
      <w:sz w:val="88"/>
      <w:szCs w:val="88"/>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sdtYxwsoXY+ySWIfUa/VwBS4Q==">CgMxLjAyCGguZ2pkZ3hzOAByITFQc2pUN1lwTjMxakxDT29xNzB6SXdQXzFiaWVtdU5YVA==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2024-05-07T03:45:00Z</dcterms:created>
  <dcterms:modified xsi:type="dcterms:W3CDTF">2024-05-07T03:45:00Z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2ec948b02e626b96964d8747d0a0a1c12a88c926b73dd64967ddd3ca8a6ec468</vt:lpwstr>
  </property>
</Properties>
</file>