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1"/>
          <w:i w:val="0"/>
          <w:smallCaps w:val="0"/>
          <w:strike w:val="0"/>
          <w:color w:val="000000"/>
          <w:sz w:val="20"/>
          <w:szCs w:val="20"/>
          <w:u w:val="none"/>
          <w:shd w:fill="auto" w:val="clear"/>
          <w:vertAlign w:val="baseline"/>
          <w:rFonts w:ascii="Arial" w:cs="Arial" w:eastAsia="Arial" w:hAnsi="Arial"/>
        </w:rPr>
      </w:pPr>
      <w:r>
        <w:rPr>
          <w:b w:val="1"/>
          <w:i w:val="0"/>
          <w:smallCaps w:val="0"/>
          <w:strike w:val="0"/>
          <w:color w:val="000000"/>
          <w:sz w:val="20"/>
          <w:u w:val="none"/>
          <w:shd w:fill="auto" w:val="clear"/>
          <w:vertAlign w:val="baseline"/>
          <w:rtl w:val="0"/>
          <w:b/>
          <w:bCs/>
          <w:rFonts w:ascii="Arial" w:hAnsi="Arial"/>
        </w:rPr>
        <w:t xml:space="preserve">VNI:</w:t>
      </w:r>
      <w:r>
        <w:rPr>
          <w:b w:val="1"/>
          <w:i w:val="0"/>
          <w:smallCaps w:val="0"/>
          <w:strike w:val="0"/>
          <w:color w:val="000000"/>
          <w:sz w:val="20"/>
          <w:u w:val="none"/>
          <w:shd w:fill="auto" w:val="clear"/>
          <w:vertAlign w:val="baseline"/>
          <w:rtl w:val="0"/>
          <w:rFonts w:ascii="Arial" w:hAnsi="Arial"/>
        </w:rPr>
        <w:t xml:space="preserve"> </w:t>
      </w:r>
      <w:r>
        <w:rPr>
          <w:b w:val="1"/>
          <w:i w:val="0"/>
          <w:smallCaps w:val="0"/>
          <w:strike w:val="0"/>
          <w:color w:val="000000"/>
          <w:sz w:val="20"/>
          <w:u w:val="none"/>
          <w:shd w:fill="auto" w:val="clear"/>
          <w:vertAlign w:val="baseline"/>
          <w:rtl w:val="0"/>
          <w:rFonts w:ascii="Arial" w:hAnsi="Arial"/>
        </w:rPr>
        <w:t xml:space="preserve">Annual General Mandate 2024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On April 26, 2024, Viet Nam Land Investment Corporation announced General Mandate No. 01/2024/NQ-CD-VNI as follows: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Article 1:</w:t>
      </w:r>
      <w:r>
        <w:rPr>
          <w:b w:val="0"/>
          <w:i w:val="0"/>
          <w:smallCaps w:val="0"/>
          <w:strike w:val="0"/>
          <w:color w:val="000000"/>
          <w:sz w:val="20"/>
          <w:u w:val="none"/>
          <w:shd w:fill="auto" w:val="clear"/>
          <w:vertAlign w:val="baseline"/>
          <w:rtl w:val="0"/>
          <w:rFonts w:ascii="Arial" w:hAnsi="Arial"/>
        </w:rPr>
        <w:t xml:space="preserve"> </w:t>
      </w:r>
      <w:r>
        <w:rPr>
          <w:b w:val="0"/>
          <w:i w:val="0"/>
          <w:smallCaps w:val="0"/>
          <w:strike w:val="0"/>
          <w:color w:val="000000"/>
          <w:sz w:val="20"/>
          <w:u w:val="none"/>
          <w:shd w:fill="auto" w:val="clear"/>
          <w:vertAlign w:val="baseline"/>
          <w:rtl w:val="0"/>
          <w:rFonts w:ascii="Arial" w:hAnsi="Arial"/>
        </w:rPr>
        <w:t xml:space="preserve">Approve the report of the Board of Directors in 2023.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Result of business activities 2023: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Unit:</w:t>
      </w:r>
      <w:r>
        <w:rPr>
          <w:b w:val="0"/>
          <w:i w:val="0"/>
          <w:smallCaps w:val="0"/>
          <w:strike w:val="0"/>
          <w:color w:val="000000"/>
          <w:sz w:val="20"/>
          <w:u w:val="none"/>
          <w:shd w:fill="auto" w:val="clear"/>
          <w:vertAlign w:val="baseline"/>
          <w:rtl w:val="0"/>
          <w:rFonts w:ascii="Arial" w:hAnsi="Arial"/>
        </w:rPr>
        <w:t xml:space="preserve"> </w:t>
      </w:r>
      <w:r>
        <w:rPr>
          <w:b w:val="0"/>
          <w:i w:val="0"/>
          <w:smallCaps w:val="0"/>
          <w:strike w:val="0"/>
          <w:color w:val="000000"/>
          <w:sz w:val="20"/>
          <w:u w:val="none"/>
          <w:shd w:fill="auto" w:val="clear"/>
          <w:vertAlign w:val="baseline"/>
          <w:rtl w:val="0"/>
          <w:rFonts w:ascii="Arial" w:hAnsi="Arial"/>
        </w:rPr>
        <w:t xml:space="preserve">VND</w:t>
      </w:r>
    </w:p>
    <w:tbl>
      <w:tblPr>
        <w:tblStyle w:val="Table1"/>
        <w:tblW w:w="91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1"/>
        <w:gridCol w:w="2707"/>
        <w:tblGridChange w:id="0">
          <w:tblGrid>
            <w:gridCol w:w="6451"/>
            <w:gridCol w:w="2707"/>
          </w:tblGrid>
        </w:tblGridChange>
      </w:tblGrid>
      <w:tr>
        <w:trPr>
          <w:cantSplit w:val="0"/>
          <w:trHeight w:val="706" w:hRule="atLeast"/>
          <w:tblHeader w:val="0"/>
        </w:trPr>
        <w:tc>
          <w:tcPr>
            <w:shd w:fill="ffffff" w:val="clear"/>
            <w:tcMar>
              <w:top w:w="0.0" w:type="dxa"/>
              <w:bottom w:w="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Advance revenue from Viva Plaza project (to be recorded upon apartment handover)</w:t>
            </w:r>
            <w:r>
              <w:rPr>
                <w:b w:val="0"/>
                <w:i w:val="0"/>
                <w:smallCaps w:val="0"/>
                <w:strike w:val="0"/>
                <w:color w:val="000000"/>
                <w:sz w:val="20"/>
                <w:u w:val="none"/>
                <w:shd w:fill="auto" w:val="clear"/>
                <w:vertAlign w:val="baseline"/>
                <w:rtl w:val="0"/>
                <w:rFonts w:ascii="Arial" w:hAnsi="Arial"/>
              </w:rPr>
              <w:tab/>
            </w:r>
          </w:p>
        </w:tc>
        <w:tc>
          <w:tcPr>
            <w:shd w:fill="ffffff" w:val="clear"/>
            <w:tcMar>
              <w:top w:w="0.0" w:type="dxa"/>
              <w:bottom w:w="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383,374,098,576</w:t>
            </w:r>
          </w:p>
        </w:tc>
      </w:tr>
      <w:tr>
        <w:trPr>
          <w:cantSplit w:val="0"/>
          <w:trHeight w:val="509" w:hRule="atLeast"/>
          <w:tblHeader w:val="0"/>
        </w:trPr>
        <w:tc>
          <w:tcPr>
            <w:shd w:fill="ffffff" w:val="clear"/>
            <w:tcMar>
              <w:top w:w="0.0" w:type="dxa"/>
              <w:bottom w:w="0.0" w:type="dxa"/>
            </w:tcM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Revenue:</w:t>
            </w:r>
          </w:p>
        </w:tc>
        <w:tc>
          <w:tcPr>
            <w:shd w:fill="ffffff" w:val="clear"/>
            <w:tcMar>
              <w:top w:w="0.0" w:type="dxa"/>
              <w:bottom w:w="0.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3,475,420,276</w:t>
            </w:r>
          </w:p>
        </w:tc>
      </w:tr>
      <w:tr>
        <w:trPr>
          <w:cantSplit w:val="0"/>
          <w:trHeight w:val="509" w:hRule="atLeast"/>
          <w:tblHeader w:val="0"/>
        </w:trPr>
        <w:tc>
          <w:tcPr>
            <w:shd w:fill="ffffff" w:val="clear"/>
            <w:tcMar>
              <w:top w:w="0.0" w:type="dxa"/>
              <w:bottom w:w="0.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Revenue from goods sale</w:t>
            </w:r>
          </w:p>
        </w:tc>
        <w:tc>
          <w:tcPr>
            <w:shd w:fill="ffffff" w:val="clear"/>
            <w:tcMar>
              <w:top w:w="0.0" w:type="dxa"/>
              <w:bottom w:w="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2,982,035,809</w:t>
            </w:r>
          </w:p>
        </w:tc>
      </w:tr>
      <w:tr>
        <w:trPr>
          <w:cantSplit w:val="0"/>
          <w:trHeight w:val="422" w:hRule="atLeast"/>
          <w:tblHeader w:val="0"/>
        </w:trPr>
        <w:tc>
          <w:tcPr>
            <w:shd w:fill="ffffff" w:val="clear"/>
            <w:tcMar>
              <w:top w:w="0.0" w:type="dxa"/>
              <w:bottom w:w="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Financial income</w:t>
            </w:r>
          </w:p>
        </w:tc>
        <w:tc>
          <w:tcPr>
            <w:shd w:fill="ffffff" w:val="clear"/>
            <w:tcMar>
              <w:top w:w="0.0" w:type="dxa"/>
              <w:bottom w:w="0.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189,622,265</w:t>
            </w:r>
          </w:p>
        </w:tc>
      </w:tr>
      <w:tr>
        <w:trPr>
          <w:cantSplit w:val="0"/>
          <w:trHeight w:val="418" w:hRule="atLeast"/>
          <w:tblHeader w:val="0"/>
        </w:trPr>
        <w:tc>
          <w:tcPr>
            <w:shd w:fill="ffffff" w:val="clear"/>
            <w:tcMar>
              <w:top w:w="0.0" w:type="dxa"/>
              <w:bottom w:w="0.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Other incomes</w:t>
            </w:r>
          </w:p>
        </w:tc>
        <w:tc>
          <w:tcPr>
            <w:shd w:fill="ffffff" w:val="clear"/>
            <w:tcMar>
              <w:top w:w="0.0" w:type="dxa"/>
              <w:bottom w:w="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303,762,202</w:t>
            </w:r>
          </w:p>
        </w:tc>
      </w:tr>
      <w:tr>
        <w:trPr>
          <w:cantSplit w:val="0"/>
          <w:trHeight w:val="427" w:hRule="atLeast"/>
          <w:tblHeader w:val="0"/>
        </w:trPr>
        <w:tc>
          <w:tcPr>
            <w:shd w:fill="ffffff" w:val="clear"/>
            <w:tcMar>
              <w:top w:w="0.0" w:type="dxa"/>
              <w:bottom w:w="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Expense:</w:t>
            </w:r>
          </w:p>
        </w:tc>
        <w:tc>
          <w:tcPr>
            <w:shd w:fill="ffffff" w:val="clear"/>
            <w:tcMar>
              <w:top w:w="0.0" w:type="dxa"/>
              <w:bottom w:w="0.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3,246,522,377</w:t>
            </w:r>
          </w:p>
        </w:tc>
      </w:tr>
      <w:tr>
        <w:trPr>
          <w:cantSplit w:val="0"/>
          <w:trHeight w:val="432" w:hRule="atLeast"/>
          <w:tblHeader w:val="0"/>
        </w:trPr>
        <w:tc>
          <w:tcPr>
            <w:shd w:fill="ffffff" w:val="clear"/>
            <w:tcMar>
              <w:top w:w="0.0" w:type="dxa"/>
              <w:bottom w:w="0.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 Costs of goods sold</w:t>
            </w:r>
          </w:p>
        </w:tc>
        <w:tc>
          <w:tcPr>
            <w:shd w:fill="ffffff" w:val="clear"/>
            <w:tcMar>
              <w:top w:w="0.0" w:type="dxa"/>
              <w:bottom w:w="0.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768,343,518</w:t>
            </w:r>
          </w:p>
        </w:tc>
      </w:tr>
      <w:tr>
        <w:trPr>
          <w:cantSplit w:val="0"/>
          <w:trHeight w:val="418" w:hRule="atLeast"/>
          <w:tblHeader w:val="0"/>
        </w:trPr>
        <w:tc>
          <w:tcPr>
            <w:shd w:fill="ffffff" w:val="clear"/>
            <w:tcMar>
              <w:top w:w="0.0" w:type="dxa"/>
              <w:bottom w:w="0.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 Selling expenses</w:t>
            </w:r>
          </w:p>
        </w:tc>
        <w:tc>
          <w:tcPr>
            <w:shd w:fill="ffffff" w:val="clear"/>
            <w:tcMar>
              <w:top w:w="0.0" w:type="dxa"/>
              <w:bottom w:w="0.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918,131,459</w:t>
            </w:r>
          </w:p>
        </w:tc>
      </w:tr>
      <w:tr>
        <w:trPr>
          <w:cantSplit w:val="0"/>
          <w:trHeight w:val="404.970703125" w:hRule="atLeast"/>
          <w:tblHeader w:val="0"/>
        </w:trPr>
        <w:tc>
          <w:tcPr>
            <w:shd w:fill="ffffff" w:val="clear"/>
            <w:tcMar>
              <w:top w:w="0.0" w:type="dxa"/>
              <w:bottom w:w="0.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 General and administrative expenses</w:t>
            </w:r>
          </w:p>
        </w:tc>
        <w:tc>
          <w:tcPr>
            <w:shd w:fill="ffffff" w:val="clear"/>
            <w:tcMar>
              <w:top w:w="0.0" w:type="dxa"/>
              <w:bottom w:w="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1,560,047,400</w:t>
            </w:r>
          </w:p>
        </w:tc>
      </w:tr>
      <w:tr>
        <w:trPr>
          <w:cantSplit w:val="0"/>
          <w:trHeight w:val="422" w:hRule="atLeast"/>
          <w:tblHeader w:val="0"/>
        </w:trPr>
        <w:tc>
          <w:tcPr>
            <w:shd w:fill="ffffff" w:val="clear"/>
            <w:tcMar>
              <w:top w:w="0.0" w:type="dxa"/>
              <w:bottom w:w="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 Other expenses</w:t>
            </w:r>
          </w:p>
        </w:tc>
        <w:tc>
          <w:tcPr>
            <w:shd w:fill="ffffff" w:val="clear"/>
            <w:tcMar>
              <w:top w:w="0.0" w:type="dxa"/>
              <w:bottom w:w="0.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0</w:t>
            </w:r>
          </w:p>
        </w:tc>
      </w:tr>
      <w:tr>
        <w:trPr>
          <w:cantSplit w:val="0"/>
          <w:trHeight w:val="432" w:hRule="atLeast"/>
          <w:tblHeader w:val="0"/>
        </w:trPr>
        <w:tc>
          <w:tcPr>
            <w:shd w:fill="ffffff" w:val="clear"/>
            <w:tcMar>
              <w:top w:w="0.0" w:type="dxa"/>
              <w:bottom w:w="0.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36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Profit:</w:t>
            </w:r>
          </w:p>
        </w:tc>
        <w:tc>
          <w:tcPr>
            <w:shd w:fill="ffffff" w:val="clear"/>
            <w:tcMar>
              <w:top w:w="0.0" w:type="dxa"/>
              <w:bottom w:w="0.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228,897,899</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Article 2:</w:t>
      </w:r>
      <w:r>
        <w:rPr>
          <w:b w:val="0"/>
          <w:i w:val="0"/>
          <w:smallCaps w:val="0"/>
          <w:strike w:val="0"/>
          <w:color w:val="000000"/>
          <w:sz w:val="20"/>
          <w:u w:val="none"/>
          <w:shd w:fill="auto" w:val="clear"/>
          <w:vertAlign w:val="baseline"/>
          <w:rtl w:val="0"/>
          <w:rFonts w:ascii="Arial" w:hAnsi="Arial"/>
        </w:rPr>
        <w:t xml:space="preserve"> </w:t>
      </w:r>
      <w:r>
        <w:rPr>
          <w:b w:val="0"/>
          <w:i w:val="0"/>
          <w:smallCaps w:val="0"/>
          <w:strike w:val="0"/>
          <w:color w:val="000000"/>
          <w:sz w:val="20"/>
          <w:u w:val="none"/>
          <w:shd w:fill="auto" w:val="clear"/>
          <w:vertAlign w:val="baseline"/>
          <w:rtl w:val="0"/>
          <w:rFonts w:ascii="Arial" w:hAnsi="Arial"/>
        </w:rPr>
        <w:t xml:space="preserve">Approve the report of the Supervisory Board in 2023</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13"/>
        </w:tabs>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sz w:val="20"/>
          <w:rtl w:val="0"/>
          <w:b w:val="0"/>
          <w:i w:val="0"/>
          <w:smallCaps w:val="0"/>
          <w:strike w:val="0"/>
          <w:color w:val="000000"/>
          <w:u w:val="none"/>
          <w:shd w:fill="auto" w:val="clear"/>
          <w:vertAlign w:val="baseline"/>
          <w:rFonts w:ascii="Arial" w:hAnsi="Arial"/>
        </w:rPr>
        <w:t xml:space="preserve">Article 3:</w:t>
      </w:r>
      <w:r>
        <w:rPr>
          <w:sz w:val="20"/>
          <w:rtl w:val="0"/>
          <w:b w:val="0"/>
          <w:i w:val="0"/>
          <w:smallCaps w:val="0"/>
          <w:strike w:val="0"/>
          <w:color w:val="000000"/>
          <w:u w:val="none"/>
          <w:shd w:fill="auto" w:val="clear"/>
          <w:vertAlign w:val="baseline"/>
          <w:rFonts w:ascii="Arial" w:hAnsi="Arial"/>
        </w:rPr>
        <w:t xml:space="preserve"> </w:t>
      </w:r>
      <w:r>
        <w:rPr>
          <w:sz w:val="20"/>
          <w:rtl w:val="0"/>
          <w:rFonts w:ascii="Arial" w:hAnsi="Arial"/>
        </w:rPr>
        <w:t xml:space="preserve">Approve the audited Financial Statements 2023 of Viet Nam Land Investment Corporation</w:t>
      </w:r>
      <w:r>
        <w:rPr>
          <w:sz w:val="20"/>
          <w:rtl w:val="0"/>
          <w:b w:val="0"/>
          <w:i w:val="0"/>
          <w:smallCaps w:val="0"/>
          <w:strike w:val="0"/>
          <w:color w:val="000000"/>
          <w:u w:val="none"/>
          <w:shd w:fill="auto" w:val="clear"/>
          <w:vertAlign w:val="baseline"/>
          <w:rFonts w:ascii="Arial" w:hAnsi="Arial"/>
        </w:rPr>
        <w:tab/>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53"/>
        </w:tabs>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Article 4:</w:t>
      </w:r>
      <w:r>
        <w:rPr>
          <w:b w:val="0"/>
          <w:i w:val="0"/>
          <w:smallCaps w:val="0"/>
          <w:strike w:val="0"/>
          <w:color w:val="000000"/>
          <w:sz w:val="20"/>
          <w:u w:val="none"/>
          <w:shd w:fill="auto" w:val="clear"/>
          <w:vertAlign w:val="baseline"/>
          <w:rtl w:val="0"/>
          <w:rFonts w:ascii="Arial" w:hAnsi="Arial"/>
        </w:rPr>
        <w:t xml:space="preserve"> </w:t>
      </w:r>
      <w:r>
        <w:rPr>
          <w:b w:val="0"/>
          <w:i w:val="0"/>
          <w:smallCaps w:val="0"/>
          <w:strike w:val="0"/>
          <w:color w:val="000000"/>
          <w:sz w:val="20"/>
          <w:u w:val="none"/>
          <w:shd w:fill="auto" w:val="clear"/>
          <w:vertAlign w:val="baseline"/>
          <w:rtl w:val="0"/>
          <w:rFonts w:ascii="Arial" w:hAnsi="Arial"/>
        </w:rPr>
        <w:t xml:space="preserve">Approve the Business Plan for 2024</w:t>
      </w:r>
    </w:p>
    <w:tbl>
      <w:tblPr>
        <w:tblStyle w:val="Table2"/>
        <w:tblW w:w="8582.0" w:type="dxa"/>
        <w:jc w:val="left"/>
        <w:tblLayout w:type="fixed"/>
        <w:tblLook w:val="0400"/>
      </w:tblPr>
      <w:tblGrid>
        <w:gridCol w:w="4027"/>
        <w:gridCol w:w="4555"/>
        <w:tblGridChange w:id="0">
          <w:tblGrid>
            <w:gridCol w:w="4027"/>
            <w:gridCol w:w="4555"/>
          </w:tblGrid>
        </w:tblGridChange>
      </w:tblGrid>
      <w:tr>
        <w:trPr>
          <w:cantSplit w:val="0"/>
          <w:trHeight w:val="341" w:hRule="atLeast"/>
          <w:tblHeader w:val="0"/>
        </w:trPr>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Revenue</w:t>
            </w:r>
          </w:p>
        </w:tc>
        <w:tc>
          <w:tcPr>
            <w:tcBorders>
              <w:top w:color="000000" w:space="0" w:sz="4" w:val="single"/>
              <w:left w:color="000000" w:space="0" w:sz="4" w:val="single"/>
              <w:right w:color="000000" w:space="0" w:sz="4" w:val="single"/>
            </w:tcBorders>
            <w:shd w:fill="ffffff" w:val="clear"/>
            <w:tcMar>
              <w:top w:w="0.0" w:type="dxa"/>
              <w:bottom w:w="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679,800,000,000</w:t>
            </w:r>
          </w:p>
        </w:tc>
      </w:tr>
      <w:tr>
        <w:trPr>
          <w:cantSplit w:val="0"/>
          <w:trHeight w:val="336" w:hRule="atLeast"/>
          <w:tblHeader w:val="0"/>
        </w:trPr>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Expenses</w:t>
            </w:r>
          </w:p>
        </w:tc>
        <w:tc>
          <w:tcPr>
            <w:tcBorders>
              <w:top w:color="000000" w:space="0" w:sz="4" w:val="single"/>
              <w:left w:color="000000" w:space="0" w:sz="4" w:val="single"/>
              <w:right w:color="000000" w:space="0" w:sz="4" w:val="single"/>
            </w:tcBorders>
            <w:shd w:fill="ffffff" w:val="clear"/>
            <w:tcMar>
              <w:top w:w="0.0" w:type="dxa"/>
              <w:bottom w:w="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641,091,000,000</w:t>
            </w:r>
          </w:p>
        </w:tc>
      </w:tr>
      <w:tr>
        <w:trPr>
          <w:cantSplit w:val="0"/>
          <w:trHeight w:val="346" w:hRule="atLeast"/>
          <w:tblHeader w:val="0"/>
        </w:trPr>
        <w:tc>
          <w:tcPr>
            <w:tcBorders>
              <w:top w:color="000000" w:space="0" w:sz="4" w:val="single"/>
              <w:left w:color="000000" w:space="0" w:sz="4" w:val="single"/>
              <w:bottom w:color="000000" w:space="0" w:sz="4" w:val="single"/>
            </w:tcBorders>
            <w:shd w:fill="ffffff" w:val="clear"/>
            <w:tcMar>
              <w:top w:w="0.0" w:type="dxa"/>
              <w:bottom w:w="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Profit</w:t>
            </w:r>
          </w:p>
        </w:tc>
        <w:tc>
          <w:tcPr>
            <w:tcBorders>
              <w:top w:color="000000" w:space="0" w:sz="4" w:val="single"/>
              <w:left w:color="000000" w:space="0" w:sz="4" w:val="single"/>
              <w:bottom w:color="000000" w:space="0" w:sz="4" w:val="single"/>
              <w:right w:color="000000" w:space="0" w:sz="4" w:val="single"/>
            </w:tcBorders>
            <w:shd w:fill="ffffff" w:val="clear"/>
            <w:tcMar>
              <w:top w:w="0.0" w:type="dxa"/>
              <w:bottom w:w="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38,709,000,000</w:t>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sz w:val="20"/>
          <w:szCs w:val="20"/>
          <w:rFonts w:ascii="Arial" w:cs="Arial" w:eastAsia="Arial" w:hAnsi="Arial"/>
        </w:rPr>
      </w:pPr>
      <w:r>
        <w:rPr>
          <w:sz w:val="20"/>
          <w:rtl w:val="0"/>
          <w:b w:val="0"/>
          <w:i w:val="0"/>
          <w:smallCaps w:val="0"/>
          <w:strike w:val="0"/>
          <w:color w:val="000000"/>
          <w:u w:val="none"/>
          <w:shd w:fill="auto" w:val="clear"/>
          <w:vertAlign w:val="baseline"/>
          <w:rFonts w:ascii="Arial" w:hAnsi="Arial"/>
        </w:rPr>
        <w:t xml:space="preserve">Article 5:</w:t>
      </w:r>
      <w:r>
        <w:rPr>
          <w:sz w:val="20"/>
          <w:rtl w:val="0"/>
          <w:b w:val="0"/>
          <w:i w:val="0"/>
          <w:smallCaps w:val="0"/>
          <w:strike w:val="0"/>
          <w:color w:val="000000"/>
          <w:u w:val="none"/>
          <w:shd w:fill="auto" w:val="clear"/>
          <w:vertAlign w:val="baseline"/>
          <w:rFonts w:ascii="Arial" w:hAnsi="Arial"/>
        </w:rPr>
        <w:t xml:space="preserve"> </w:t>
      </w:r>
      <w:r>
        <w:rPr>
          <w:sz w:val="20"/>
          <w:rtl w:val="0"/>
          <w:rFonts w:ascii="Arial" w:hAnsi="Arial"/>
        </w:rPr>
        <w:t xml:space="preserve">Approve the selection of an audit company for the Financial Statements of 2024;</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Authorize the Board of Directors to select the audit company for the Financial Statements 2024 of Viet Nam Land Investment Corporation, which is one of the 3 audit companies that meet the criteria of operating legally in Vietnam, approved by the State Securities Commission to audit for issuers, listed organizations and securities trading organizations such as:</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2"/>
        </w:tabs>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Southern Auditing and Accounting Financial Consulting Services Co., Ltd. (AASCS).</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2"/>
        </w:tabs>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Vietvalues Audit And Consulting Company Limited</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2"/>
        </w:tabs>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DFK Vietnam Auditing Company Limited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Article 6:</w:t>
      </w:r>
      <w:r>
        <w:rPr>
          <w:b w:val="0"/>
          <w:i w:val="0"/>
          <w:smallCaps w:val="0"/>
          <w:strike w:val="0"/>
          <w:color w:val="000000"/>
          <w:sz w:val="20"/>
          <w:u w:val="none"/>
          <w:shd w:fill="auto" w:val="clear"/>
          <w:vertAlign w:val="baseline"/>
          <w:rtl w:val="0"/>
          <w:rFonts w:ascii="Arial" w:hAnsi="Arial"/>
        </w:rPr>
        <w:t xml:space="preserve"> </w:t>
      </w:r>
      <w:r>
        <w:rPr>
          <w:b w:val="0"/>
          <w:i w:val="0"/>
          <w:smallCaps w:val="0"/>
          <w:strike w:val="0"/>
          <w:color w:val="000000"/>
          <w:sz w:val="20"/>
          <w:u w:val="none"/>
          <w:shd w:fill="auto" w:val="clear"/>
          <w:vertAlign w:val="baseline"/>
          <w:rtl w:val="0"/>
          <w:rFonts w:ascii="Arial" w:hAnsi="Arial"/>
        </w:rPr>
        <w:t xml:space="preserve">Approve the remuneration of the Board of Directors and Supervisory Board of Viet Nam Land Investment Corporation in 2024</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Monthly remuneration of members</w:t>
      </w:r>
    </w:p>
    <w:tbl>
      <w:tblPr>
        <w:tblStyle w:val="Table3"/>
        <w:tblW w:w="8405.0" w:type="dxa"/>
        <w:jc w:val="left"/>
        <w:tblLayout w:type="fixed"/>
        <w:tblLook w:val="0400"/>
      </w:tblPr>
      <w:tblGrid>
        <w:gridCol w:w="4992"/>
        <w:gridCol w:w="3413"/>
        <w:tblGridChange w:id="0">
          <w:tblGrid>
            <w:gridCol w:w="4992"/>
            <w:gridCol w:w="3413"/>
          </w:tblGrid>
        </w:tblGridChange>
      </w:tblGrid>
      <w:tr>
        <w:trPr>
          <w:cantSplit w:val="0"/>
          <w:trHeight w:val="346" w:hRule="atLeast"/>
          <w:tblHeader w:val="0"/>
        </w:trPr>
        <w:tc>
          <w:tcPr>
            <w:tcBorders>
              <w:top w:color="000000" w:space="0" w:sz="4" w:val="single"/>
              <w:left w:color="000000" w:space="0" w:sz="4" w:val="single"/>
            </w:tcBorders>
            <w:shd w:fill="ffffff" w:val="clear"/>
            <w:tcMar>
              <w:top w:w="0.0" w:type="dxa"/>
              <w:bottom w:w="0.0" w:type="dxa"/>
            </w:tcMar>
            <w:vAlign w:val="bottom"/>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Chair of the Board of Directors</w:t>
            </w:r>
          </w:p>
        </w:tc>
        <w:tc>
          <w:tcPr>
            <w:tcBorders>
              <w:top w:color="000000" w:space="0" w:sz="4" w:val="single"/>
              <w:left w:color="000000" w:space="0" w:sz="4" w:val="single"/>
              <w:right w:color="000000" w:space="0" w:sz="4" w:val="single"/>
            </w:tcBorders>
            <w:shd w:fill="ffffff" w:val="clear"/>
            <w:tcMar>
              <w:top w:w="0.0" w:type="dxa"/>
              <w:bottom w:w="0.0" w:type="dxa"/>
            </w:tcMar>
            <w:vAlign w:val="bottom"/>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VND 6,000,000/month</w:t>
            </w:r>
          </w:p>
        </w:tc>
      </w:tr>
      <w:tr>
        <w:trPr>
          <w:cantSplit w:val="0"/>
          <w:trHeight w:val="331" w:hRule="atLeast"/>
          <w:tblHeader w:val="0"/>
        </w:trPr>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Member of the Board of Directors</w:t>
            </w:r>
          </w:p>
        </w:tc>
        <w:tc>
          <w:tcPr>
            <w:tcBorders>
              <w:top w:color="000000" w:space="0" w:sz="4" w:val="single"/>
              <w:left w:color="000000" w:space="0" w:sz="4" w:val="single"/>
              <w:right w:color="000000" w:space="0" w:sz="4" w:val="single"/>
            </w:tcBorders>
            <w:shd w:fill="ffffff" w:val="clear"/>
            <w:tcMar>
              <w:top w:w="0.0" w:type="dxa"/>
              <w:bottom w:w="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VND 5,000,000/month</w:t>
            </w:r>
          </w:p>
        </w:tc>
      </w:tr>
      <w:tr>
        <w:trPr>
          <w:cantSplit w:val="0"/>
          <w:trHeight w:val="336" w:hRule="atLeast"/>
          <w:tblHeader w:val="0"/>
        </w:trPr>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Chief of the Supervisory Board</w:t>
            </w:r>
          </w:p>
        </w:tc>
        <w:tc>
          <w:tcPr>
            <w:tcBorders>
              <w:top w:color="000000" w:space="0" w:sz="4" w:val="single"/>
              <w:left w:color="000000" w:space="0" w:sz="4" w:val="single"/>
              <w:right w:color="000000" w:space="0" w:sz="4" w:val="single"/>
            </w:tcBorders>
            <w:shd w:fill="ffffff" w:val="clear"/>
            <w:tcMar>
              <w:top w:w="0.0" w:type="dxa"/>
              <w:bottom w:w="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VND 4,000,000/month</w:t>
            </w:r>
          </w:p>
        </w:tc>
      </w:tr>
      <w:tr>
        <w:trPr>
          <w:cantSplit w:val="0"/>
          <w:trHeight w:val="355" w:hRule="atLeast"/>
          <w:tblHeader w:val="0"/>
        </w:trPr>
        <w:tc>
          <w:tcPr>
            <w:tcBorders>
              <w:top w:color="000000" w:space="0" w:sz="4" w:val="single"/>
              <w:left w:color="000000" w:space="0" w:sz="4" w:val="single"/>
              <w:bottom w:color="000000" w:space="0" w:sz="4" w:val="single"/>
            </w:tcBorders>
            <w:shd w:fill="ffffff" w:val="clear"/>
            <w:tcMar>
              <w:top w:w="0.0" w:type="dxa"/>
              <w:bottom w:w="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Members of the Supervisory Board</w:t>
            </w:r>
          </w:p>
        </w:tc>
        <w:tc>
          <w:tcPr>
            <w:tcBorders>
              <w:top w:color="000000" w:space="0" w:sz="4" w:val="single"/>
              <w:left w:color="000000" w:space="0" w:sz="4" w:val="single"/>
              <w:bottom w:color="000000" w:space="0" w:sz="4" w:val="single"/>
              <w:right w:color="000000" w:space="0" w:sz="4" w:val="single"/>
            </w:tcBorders>
            <w:shd w:fill="ffffff" w:val="clear"/>
            <w:tcMar>
              <w:top w:w="0.0" w:type="dxa"/>
              <w:bottom w:w="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VND 3,000,000/month</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Article 7:</w:t>
      </w:r>
      <w:r>
        <w:rPr>
          <w:b w:val="0"/>
          <w:i w:val="0"/>
          <w:smallCaps w:val="0"/>
          <w:strike w:val="0"/>
          <w:color w:val="000000"/>
          <w:sz w:val="20"/>
          <w:u w:val="none"/>
          <w:shd w:fill="auto" w:val="clear"/>
          <w:vertAlign w:val="baseline"/>
          <w:rtl w:val="0"/>
          <w:rFonts w:ascii="Arial" w:hAnsi="Arial"/>
        </w:rPr>
        <w:t xml:space="preserve"> </w:t>
      </w:r>
      <w:r>
        <w:rPr>
          <w:b w:val="0"/>
          <w:i w:val="0"/>
          <w:smallCaps w:val="0"/>
          <w:strike w:val="0"/>
          <w:color w:val="000000"/>
          <w:sz w:val="20"/>
          <w:u w:val="none"/>
          <w:shd w:fill="auto" w:val="clear"/>
          <w:vertAlign w:val="baseline"/>
          <w:rtl w:val="0"/>
          <w:rFonts w:ascii="Arial" w:hAnsi="Arial"/>
        </w:rPr>
        <w:t xml:space="preserve">Approve the amendment of some contents of the Charter as stated in the appendix attached to the Proposal and approve the Draft of the full Charter (updated with the amended contents).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r>
        <w:rPr>
          <w:b w:val="0"/>
          <w:i w:val="0"/>
          <w:smallCaps w:val="0"/>
          <w:strike w:val="0"/>
          <w:color w:val="000000"/>
          <w:sz w:val="20"/>
          <w:u w:val="none"/>
          <w:shd w:fill="auto" w:val="clear"/>
          <w:vertAlign w:val="baseline"/>
          <w:rtl w:val="0"/>
          <w:rFonts w:ascii="Arial" w:hAnsi="Arial"/>
        </w:rPr>
        <w:t xml:space="preserve">Article 8:</w:t>
      </w:r>
      <w:r>
        <w:rPr>
          <w:b w:val="0"/>
          <w:i w:val="0"/>
          <w:smallCaps w:val="0"/>
          <w:strike w:val="0"/>
          <w:color w:val="000000"/>
          <w:sz w:val="20"/>
          <w:u w:val="none"/>
          <w:shd w:fill="auto" w:val="clear"/>
          <w:vertAlign w:val="baseline"/>
          <w:rtl w:val="0"/>
          <w:rFonts w:ascii="Arial" w:hAnsi="Arial"/>
        </w:rPr>
        <w:t xml:space="preserve"> </w:t>
      </w:r>
      <w:r>
        <w:rPr>
          <w:b w:val="0"/>
          <w:i w:val="0"/>
          <w:smallCaps w:val="0"/>
          <w:strike w:val="0"/>
          <w:color w:val="000000"/>
          <w:sz w:val="20"/>
          <w:u w:val="none"/>
          <w:shd w:fill="auto" w:val="clear"/>
          <w:vertAlign w:val="baseline"/>
          <w:rtl w:val="0"/>
          <w:rFonts w:ascii="Arial" w:hAnsi="Arial"/>
        </w:rPr>
        <w:t xml:space="preserve">Terms of enforcement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00000"/>
          <w:sz w:val="20"/>
          <w:szCs w:val="20"/>
          <w:u w:val="none"/>
          <w:shd w:fill="auto" w:val="clear"/>
          <w:vertAlign w:val="baseline"/>
          <w:rFonts w:ascii="Arial" w:cs="Arial" w:eastAsia="Arial" w:hAnsi="Arial"/>
        </w:rPr>
      </w:pPr>
      <w:bookmarkStart w:id="0" w:name="_heading=h.1t3h5sf"/>
      <w:bookmarkEnd w:id="0"/>
      <w:r>
        <w:rPr>
          <w:b w:val="0"/>
          <w:i w:val="0"/>
          <w:smallCaps w:val="0"/>
          <w:strike w:val="0"/>
          <w:color w:val="000000"/>
          <w:sz w:val="20"/>
          <w:u w:val="none"/>
          <w:shd w:fill="auto" w:val="clear"/>
          <w:vertAlign w:val="baseline"/>
          <w:rtl w:val="0"/>
          <w:rFonts w:ascii="Arial" w:hAnsi="Arial"/>
        </w:rPr>
        <w:t xml:space="preserve">This General Mandate was approved  by the Annual General Meeting of Shareholders in 2024 at the General Meeting of Shareholders meeting on April 26, 2024, assigning the Board of Directors, Supervisory Board, and General Manager of the Company to organize the implementation of this General Mandate.</w:t>
      </w:r>
      <w:r>
        <w:rPr>
          <w:b w:val="0"/>
          <w:i w:val="0"/>
          <w:smallCaps w:val="0"/>
          <w:strike w:val="0"/>
          <w:color w:val="000000"/>
          <w:sz w:val="20"/>
          <w:u w:val="none"/>
          <w:shd w:fill="auto" w:val="clear"/>
          <w:vertAlign w:val="baseline"/>
          <w:rtl w:val="0"/>
          <w:rFonts w:ascii="Arial" w:hAnsi="Arial"/>
        </w:rPr>
        <w:t xml:space="preserve"> </w:t>
      </w:r>
      <w:r>
        <w:rPr>
          <w:b w:val="0"/>
          <w:i w:val="0"/>
          <w:smallCaps w:val="0"/>
          <w:strike w:val="0"/>
          <w:color w:val="000000"/>
          <w:sz w:val="20"/>
          <w:u w:val="none"/>
          <w:shd w:fill="auto" w:val="clear"/>
          <w:vertAlign w:val="baseline"/>
          <w:rtl w:val="0"/>
          <w:rFonts w:ascii="Arial" w:hAnsi="Arial"/>
        </w:rPr>
        <w:cr/>
      </w:r>
      <w:r>
        <w:rPr>
          <w:b w:val="0"/>
          <w:i w:val="0"/>
          <w:smallCaps w:val="0"/>
          <w:strike w:val="0"/>
          <w:color w:val="000000"/>
          <w:sz w:val="20"/>
          <w:u w:val="none"/>
          <w:shd w:fill="auto" w:val="clear"/>
          <w:vertAlign w:val="baseline"/>
          <w:rtl w:val="0"/>
          <w:rFonts w:ascii="Arial" w:hAnsi="Arial"/>
        </w:rPr>
        <w:br/>
      </w:r>
      <w:r>
        <w:rPr>
          <w:b w:val="0"/>
          <w:i w:val="0"/>
          <w:smallCaps w:val="0"/>
          <w:strike w:val="0"/>
          <w:color w:val="000000"/>
          <w:sz w:val="20"/>
          <w:u w:val="none"/>
          <w:shd w:fill="auto" w:val="clear"/>
          <w:vertAlign w:val="baseline"/>
          <w:rtl w:val="0"/>
          <w:rFonts w:ascii="Arial" w:hAnsi="Arial"/>
        </w:rPr>
        <w:t xml:space="preserve">The General Mandate takes effect from the date of signing.</w:t>
      </w:r>
    </w:p>
    <w:p w:rsidR="00000000" w:rsidDel="00000000" w:rsidP="00000000" w:rsidRDefault="00000000" w:rsidRPr="00000000" w14:paraId="00000037">
      <w:pPr>
        <w:spacing w:after="120" w:line="360" w:lineRule="auto"/>
        <w:rPr>
          <w:rFonts w:ascii="Arial" w:cs="Arial" w:eastAsia="Arial" w:hAnsi="Arial"/>
          <w:sz w:val="20"/>
          <w:szCs w:val="20"/>
        </w:rPr>
      </w:pPr>
      <w:r w:rsidDel="00000000" w:rsidR="00000000" w:rsidRPr="00000000">
        <w:rPr>
          <w:rtl w:val="0"/>
        </w:rPr>
      </w:r>
    </w:p>
    <w:sectPr>
      <w:pgSz w:h="16838" w:w="11906" w:orient="portrait"/>
      <w:pgMar w:bottom="1440" w:top="1440" w:left="1440" w:right="1440"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Times New Roman" w:cs="Times New Roman" w:eastAsia="Times New Roman" w:hAnsi="Times New Roman"/>
        <w:b w:val="0"/>
        <w:i w:val="1"/>
        <w:smallCaps w:val="0"/>
        <w:strike w:val="0"/>
        <w:color w:val="000000"/>
        <w:sz w:val="20"/>
        <w:szCs w:val="20"/>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dyTextChar" w:customStyle="1">
    <w:name w:val="Body Text Char"/>
    <w:basedOn w:val="DefaultParagraphFont"/>
    <w:link w:val="BodyText"/>
    <w:rPr>
      <w:rFonts w:ascii="Times New Roman" w:cs="Times New Roman" w:eastAsia="Times New Roman" w:hAnsi="Times New Roman"/>
      <w:b w:val="0"/>
      <w:bCs w:val="0"/>
      <w:i w:val="0"/>
      <w:iCs w:val="0"/>
      <w:smallCaps w:val="0"/>
      <w:strike w:val="0"/>
      <w:u w:val="none"/>
      <w:shd w:color="auto" w:fill="auto" w:val="clear"/>
    </w:rPr>
  </w:style>
  <w:style w:type="character" w:styleId="Tablecaption" w:customStyle="1">
    <w:name w:val="Table caption_"/>
    <w:basedOn w:val="DefaultParagraphFont"/>
    <w:link w:val="Tablecaption0"/>
    <w:rPr>
      <w:rFonts w:ascii="Times New Roman" w:cs="Times New Roman" w:eastAsia="Times New Roman" w:hAnsi="Times New Roman"/>
      <w:b w:val="0"/>
      <w:bCs w:val="0"/>
      <w:i w:val="0"/>
      <w:iCs w:val="0"/>
      <w:smallCaps w:val="0"/>
      <w:strike w:val="0"/>
      <w:u w:val="none"/>
      <w:shd w:color="auto" w:fill="auto" w:val="clear"/>
    </w:rPr>
  </w:style>
  <w:style w:type="character" w:styleId="Other" w:customStyle="1">
    <w:name w:val="Other_"/>
    <w:basedOn w:val="DefaultParagraphFont"/>
    <w:link w:val="Other0"/>
    <w:rPr>
      <w:rFonts w:ascii="Times New Roman" w:cs="Times New Roman" w:eastAsia="Times New Roman" w:hAnsi="Times New Roman"/>
      <w:b w:val="0"/>
      <w:bCs w:val="0"/>
      <w:i w:val="0"/>
      <w:iCs w:val="0"/>
      <w:smallCaps w:val="0"/>
      <w:strike w:val="0"/>
      <w:u w:val="none"/>
      <w:shd w:color="auto" w:fill="auto" w:val="clear"/>
    </w:rPr>
  </w:style>
  <w:style w:type="character" w:styleId="Heading1" w:customStyle="1">
    <w:name w:val="Heading #1_"/>
    <w:basedOn w:val="DefaultParagraphFont"/>
    <w:link w:val="Heading10"/>
    <w:rPr>
      <w:rFonts w:ascii="Times New Roman" w:cs="Times New Roman" w:eastAsia="Times New Roman" w:hAnsi="Times New Roman"/>
      <w:b w:val="1"/>
      <w:bCs w:val="1"/>
      <w:i w:val="0"/>
      <w:iCs w:val="0"/>
      <w:smallCaps w:val="0"/>
      <w:strike w:val="0"/>
      <w:sz w:val="32"/>
      <w:szCs w:val="32"/>
      <w:u w:val="none"/>
      <w:shd w:color="auto" w:fill="auto" w:val="clear"/>
    </w:rPr>
  </w:style>
  <w:style w:type="character" w:styleId="Heading2" w:customStyle="1">
    <w:name w:val="Heading #2_"/>
    <w:basedOn w:val="DefaultParagraphFont"/>
    <w:link w:val="Heading20"/>
    <w:rPr>
      <w:rFonts w:ascii="Times New Roman" w:cs="Times New Roman" w:eastAsia="Times New Roman" w:hAnsi="Times New Roman"/>
      <w:b w:val="1"/>
      <w:bCs w:val="1"/>
      <w:i w:val="0"/>
      <w:iCs w:val="0"/>
      <w:smallCaps w:val="0"/>
      <w:strike w:val="0"/>
      <w:u w:val="none"/>
      <w:shd w:color="auto" w:fill="auto" w:val="clear"/>
    </w:rPr>
  </w:style>
  <w:style w:type="character" w:styleId="Bodytext3" w:customStyle="1">
    <w:name w:val="Body text (3)_"/>
    <w:basedOn w:val="DefaultParagraphFont"/>
    <w:link w:val="Bodytext30"/>
    <w:rPr>
      <w:rFonts w:ascii="Palatino Linotype" w:cs="Palatino Linotype" w:eastAsia="Palatino Linotype" w:hAnsi="Palatino Linotype"/>
      <w:b w:val="0"/>
      <w:bCs w:val="0"/>
      <w:i w:val="1"/>
      <w:iCs w:val="1"/>
      <w:smallCaps w:val="0"/>
      <w:strike w:val="0"/>
      <w:sz w:val="22"/>
      <w:szCs w:val="22"/>
      <w:u w:val="none"/>
      <w:shd w:color="auto" w:fill="auto" w:val="clear"/>
    </w:rPr>
  </w:style>
  <w:style w:type="character" w:styleId="Bodytext2" w:customStyle="1">
    <w:name w:val="Body text (2)_"/>
    <w:basedOn w:val="DefaultParagraphFont"/>
    <w:link w:val="Bodytext20"/>
    <w:rPr>
      <w:rFonts w:ascii="Times New Roman" w:cs="Times New Roman" w:eastAsia="Times New Roman" w:hAnsi="Times New Roman"/>
      <w:b w:val="0"/>
      <w:bCs w:val="0"/>
      <w:i w:val="1"/>
      <w:iCs w:val="1"/>
      <w:smallCaps w:val="0"/>
      <w:strike w:val="0"/>
      <w:sz w:val="20"/>
      <w:szCs w:val="20"/>
      <w:u w:val="none"/>
      <w:shd w:color="auto" w:fill="auto" w:val="clear"/>
    </w:rPr>
  </w:style>
  <w:style w:type="paragraph" w:styleId="BodyText">
    <w:name w:val="Body Text"/>
    <w:basedOn w:val="Normal"/>
    <w:link w:val="BodyTextChar"/>
    <w:qFormat w:val="1"/>
    <w:pPr>
      <w:spacing w:line="278" w:lineRule="auto"/>
      <w:ind w:firstLine="400"/>
    </w:pPr>
    <w:rPr>
      <w:rFonts w:ascii="Times New Roman" w:cs="Times New Roman" w:eastAsia="Times New Roman" w:hAnsi="Times New Roman"/>
    </w:rPr>
  </w:style>
  <w:style w:type="paragraph" w:styleId="Tablecaption0" w:customStyle="1">
    <w:name w:val="Table caption"/>
    <w:basedOn w:val="Normal"/>
    <w:link w:val="Tablecaption"/>
    <w:pPr>
      <w:spacing w:line="276" w:lineRule="auto"/>
      <w:ind w:firstLine="520"/>
    </w:pPr>
    <w:rPr>
      <w:rFonts w:ascii="Times New Roman" w:cs="Times New Roman" w:eastAsia="Times New Roman" w:hAnsi="Times New Roman"/>
    </w:rPr>
  </w:style>
  <w:style w:type="paragraph" w:styleId="Other0" w:customStyle="1">
    <w:name w:val="Other"/>
    <w:basedOn w:val="Normal"/>
    <w:link w:val="Other"/>
    <w:pPr>
      <w:spacing w:line="278" w:lineRule="auto"/>
      <w:ind w:firstLine="400"/>
    </w:pPr>
    <w:rPr>
      <w:rFonts w:ascii="Times New Roman" w:cs="Times New Roman" w:eastAsia="Times New Roman" w:hAnsi="Times New Roman"/>
    </w:rPr>
  </w:style>
  <w:style w:type="paragraph" w:styleId="Heading10" w:customStyle="1">
    <w:name w:val="Heading #1"/>
    <w:basedOn w:val="Normal"/>
    <w:link w:val="Heading1"/>
    <w:pPr>
      <w:jc w:val="center"/>
      <w:outlineLvl w:val="0"/>
    </w:pPr>
    <w:rPr>
      <w:rFonts w:ascii="Times New Roman" w:cs="Times New Roman" w:eastAsia="Times New Roman" w:hAnsi="Times New Roman"/>
      <w:b w:val="1"/>
      <w:bCs w:val="1"/>
      <w:sz w:val="32"/>
      <w:szCs w:val="32"/>
    </w:rPr>
  </w:style>
  <w:style w:type="paragraph" w:styleId="Heading20" w:customStyle="1">
    <w:name w:val="Heading #2"/>
    <w:basedOn w:val="Normal"/>
    <w:link w:val="Heading2"/>
    <w:pPr>
      <w:spacing w:line="283" w:lineRule="auto"/>
      <w:jc w:val="center"/>
      <w:outlineLvl w:val="1"/>
    </w:pPr>
    <w:rPr>
      <w:rFonts w:ascii="Times New Roman" w:cs="Times New Roman" w:eastAsia="Times New Roman" w:hAnsi="Times New Roman"/>
      <w:b w:val="1"/>
      <w:bCs w:val="1"/>
    </w:rPr>
  </w:style>
  <w:style w:type="paragraph" w:styleId="Bodytext30" w:customStyle="1">
    <w:name w:val="Body text (3)"/>
    <w:basedOn w:val="Normal"/>
    <w:link w:val="Bodytext3"/>
    <w:rPr>
      <w:rFonts w:ascii="Palatino Linotype" w:cs="Palatino Linotype" w:eastAsia="Palatino Linotype" w:hAnsi="Palatino Linotype"/>
      <w:i w:val="1"/>
      <w:iCs w:val="1"/>
      <w:sz w:val="22"/>
      <w:szCs w:val="22"/>
    </w:rPr>
  </w:style>
  <w:style w:type="paragraph" w:styleId="Bodytext20" w:customStyle="1">
    <w:name w:val="Body text (2)"/>
    <w:basedOn w:val="Normal"/>
    <w:link w:val="Bodytext2"/>
    <w:rPr>
      <w:rFonts w:ascii="Times New Roman" w:cs="Times New Roman" w:eastAsia="Times New Roman" w:hAnsi="Times New Roman"/>
      <w:i w:val="1"/>
      <w:i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BHxJoTJXqMQDOr1y3feHnZTuw==">CgMxLjAyCWguMXQzaDVzZjgAciExOC1TTjhmUG1QS24yeklZUzJvVTc2NU9aWkdSWlRVaGg=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2024-05-07T07:00:00Z</dcterms:created>
</cp:coreProperties>
</file>