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04F8" w14:textId="77777777" w:rsidR="00D70A4B" w:rsidRDefault="00D70A4B" w:rsidP="00D70A4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color w:val="010000"/>
          <w:sz w:val="20"/>
        </w:rPr>
        <w:t>VNY: Annual General Mandate 2024</w:t>
      </w:r>
    </w:p>
    <w:p w14:paraId="5DCF13F9" w14:textId="77777777" w:rsidR="001E2907" w:rsidRPr="00D70A4B" w:rsidRDefault="00EA0718" w:rsidP="00D70A4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May 4, 2024, Vietnam Veterinary Products Joint Stock Company announced General Mandate No.19 - 2024/NQ-DHDCD as follows:</w:t>
      </w:r>
    </w:p>
    <w:p w14:paraId="6C3E21A1" w14:textId="77777777" w:rsidR="001E2907" w:rsidRPr="00D70A4B" w:rsidRDefault="00EA0718" w:rsidP="00D70A4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Approve the following contents:</w:t>
      </w:r>
    </w:p>
    <w:p w14:paraId="269D0617" w14:textId="77777777" w:rsidR="001E2907" w:rsidRPr="00D70A4B" w:rsidRDefault="00EA0718" w:rsidP="00D70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the Report of the Board of Directors. </w:t>
      </w:r>
    </w:p>
    <w:p w14:paraId="70FF69B5" w14:textId="77777777" w:rsidR="001E2907" w:rsidRPr="00D70A4B" w:rsidRDefault="00EA0718" w:rsidP="00D70A4B">
      <w:pPr>
        <w:tabs>
          <w:tab w:val="left" w:pos="432"/>
          <w:tab w:val="left" w:pos="5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a. Results of production and business acti</w:t>
      </w:r>
      <w:r>
        <w:rPr>
          <w:rFonts w:ascii="Arial" w:hAnsi="Arial"/>
          <w:color w:val="010000"/>
          <w:sz w:val="20"/>
        </w:rPr>
        <w:t>vities in 2023</w:t>
      </w:r>
    </w:p>
    <w:p w14:paraId="11873E4A" w14:textId="77777777" w:rsidR="001E2907" w:rsidRPr="00D70A4B" w:rsidRDefault="00EA0718" w:rsidP="00D70A4B">
      <w:pPr>
        <w:tabs>
          <w:tab w:val="left" w:pos="432"/>
          <w:tab w:val="left" w:pos="5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Thousand VND</w:t>
      </w: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530"/>
        <w:gridCol w:w="2348"/>
        <w:gridCol w:w="2194"/>
        <w:gridCol w:w="1935"/>
      </w:tblGrid>
      <w:tr w:rsidR="001E2907" w:rsidRPr="00D70A4B" w14:paraId="637523E2" w14:textId="77777777" w:rsidTr="00D70A4B">
        <w:tc>
          <w:tcPr>
            <w:tcW w:w="14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6D6857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Financial targets: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4881B5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2022</w:t>
            </w:r>
          </w:p>
        </w:tc>
        <w:tc>
          <w:tcPr>
            <w:tcW w:w="12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A4EE1E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0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4FEE49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Increase/decrease (%)</w:t>
            </w:r>
          </w:p>
        </w:tc>
      </w:tr>
      <w:tr w:rsidR="001E2907" w:rsidRPr="00D70A4B" w14:paraId="2EE8C9BB" w14:textId="77777777" w:rsidTr="00D70A4B">
        <w:tc>
          <w:tcPr>
            <w:tcW w:w="14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EE8C3D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goods sale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86D2A9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141,822,244,194</w:t>
            </w:r>
          </w:p>
        </w:tc>
        <w:tc>
          <w:tcPr>
            <w:tcW w:w="12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4C5058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97,602,141,142</w:t>
            </w:r>
          </w:p>
        </w:tc>
        <w:tc>
          <w:tcPr>
            <w:tcW w:w="10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B32D98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-31.18</w:t>
            </w:r>
          </w:p>
        </w:tc>
      </w:tr>
      <w:tr w:rsidR="001E2907" w:rsidRPr="00D70A4B" w14:paraId="32BE147D" w14:textId="77777777" w:rsidTr="00D70A4B">
        <w:tc>
          <w:tcPr>
            <w:tcW w:w="14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8FD68A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from business activities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26412D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3,816,337,913</w:t>
            </w:r>
          </w:p>
        </w:tc>
        <w:tc>
          <w:tcPr>
            <w:tcW w:w="12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9F3B68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2,588,981,277</w:t>
            </w:r>
          </w:p>
        </w:tc>
        <w:tc>
          <w:tcPr>
            <w:tcW w:w="10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B6D960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-32.16</w:t>
            </w:r>
          </w:p>
        </w:tc>
      </w:tr>
      <w:tr w:rsidR="001E2907" w:rsidRPr="00D70A4B" w14:paraId="647E6AF6" w14:textId="77777777" w:rsidTr="00D70A4B">
        <w:tc>
          <w:tcPr>
            <w:tcW w:w="14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24C65E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Other profits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DADE83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2,366,895,670</w:t>
            </w:r>
          </w:p>
        </w:tc>
        <w:tc>
          <w:tcPr>
            <w:tcW w:w="12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9723AC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1,679,796,176</w:t>
            </w:r>
          </w:p>
        </w:tc>
        <w:tc>
          <w:tcPr>
            <w:tcW w:w="10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4086C1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-29.03</w:t>
            </w:r>
          </w:p>
        </w:tc>
      </w:tr>
      <w:tr w:rsidR="001E2907" w:rsidRPr="00D70A4B" w14:paraId="177D2120" w14:textId="77777777" w:rsidTr="00D70A4B">
        <w:tc>
          <w:tcPr>
            <w:tcW w:w="14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DA38D4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C31893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6,183,233,583</w:t>
            </w:r>
          </w:p>
        </w:tc>
        <w:tc>
          <w:tcPr>
            <w:tcW w:w="12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92870A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4,268,778,453</w:t>
            </w:r>
          </w:p>
        </w:tc>
        <w:tc>
          <w:tcPr>
            <w:tcW w:w="10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53309F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-30.96</w:t>
            </w:r>
          </w:p>
        </w:tc>
      </w:tr>
      <w:tr w:rsidR="001E2907" w:rsidRPr="00D70A4B" w14:paraId="01629D0D" w14:textId="77777777" w:rsidTr="00D70A4B">
        <w:tc>
          <w:tcPr>
            <w:tcW w:w="140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6C888A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BEEDA5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5,595,254,900</w:t>
            </w:r>
          </w:p>
        </w:tc>
        <w:tc>
          <w:tcPr>
            <w:tcW w:w="1218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AFD923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3,381,284,688</w:t>
            </w:r>
          </w:p>
        </w:tc>
        <w:tc>
          <w:tcPr>
            <w:tcW w:w="1074" w:type="pct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29F9D7" w14:textId="77777777" w:rsidR="001E2907" w:rsidRPr="00D70A4B" w:rsidRDefault="00EA0718" w:rsidP="00D70A4B">
            <w:pPr>
              <w:tabs>
                <w:tab w:val="left" w:pos="432"/>
                <w:tab w:val="left" w:pos="5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-39.57</w:t>
            </w:r>
          </w:p>
        </w:tc>
      </w:tr>
    </w:tbl>
    <w:p w14:paraId="3F2FBD6F" w14:textId="77777777" w:rsidR="001E2907" w:rsidRPr="00D70A4B" w:rsidRDefault="00EA0718" w:rsidP="00D70A4B">
      <w:pPr>
        <w:tabs>
          <w:tab w:val="left" w:pos="432"/>
          <w:tab w:val="left" w:pos="5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b. Production and business plan in 2023:</w:t>
      </w:r>
    </w:p>
    <w:p w14:paraId="258330A1" w14:textId="77777777" w:rsidR="001E2907" w:rsidRPr="00D70A4B" w:rsidRDefault="00EA0718" w:rsidP="00D70A4B">
      <w:pPr>
        <w:tabs>
          <w:tab w:val="left" w:pos="432"/>
          <w:tab w:val="left" w:pos="5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Net revenue: VND 110,000,000,000</w:t>
      </w:r>
    </w:p>
    <w:p w14:paraId="34ED659C" w14:textId="77777777" w:rsidR="001E2907" w:rsidRPr="00D70A4B" w:rsidRDefault="00EA0718" w:rsidP="00D70A4B">
      <w:pPr>
        <w:tabs>
          <w:tab w:val="left" w:pos="432"/>
          <w:tab w:val="left" w:pos="5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Profit after tax: </w:t>
      </w:r>
      <w:r>
        <w:rPr>
          <w:rFonts w:ascii="Arial" w:hAnsi="Arial"/>
          <w:color w:val="010000"/>
          <w:sz w:val="20"/>
        </w:rPr>
        <w:t>VND 5,000,000,000</w:t>
      </w:r>
    </w:p>
    <w:p w14:paraId="125FD257" w14:textId="77777777" w:rsidR="001E2907" w:rsidRPr="00D70A4B" w:rsidRDefault="00EA0718" w:rsidP="00D70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Report of the Audit Committee;</w:t>
      </w:r>
    </w:p>
    <w:p w14:paraId="0114FDB8" w14:textId="77777777" w:rsidR="001E2907" w:rsidRPr="00D70A4B" w:rsidRDefault="00EA0718" w:rsidP="00D70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Audited Financial Statements for the Financial period from January 1, 2023 to December 31, 2023 of Vietnam Veterinary Products Joint Stock Company signed by UHY Auditing and Consultin</w:t>
      </w:r>
      <w:r>
        <w:rPr>
          <w:rFonts w:ascii="Arial" w:hAnsi="Arial"/>
          <w:color w:val="010000"/>
          <w:sz w:val="20"/>
        </w:rPr>
        <w:t xml:space="preserve">g Co., Ltd. on March 28, 2024; </w:t>
      </w:r>
    </w:p>
    <w:p w14:paraId="1D563278" w14:textId="77777777" w:rsidR="001E2907" w:rsidRPr="00D70A4B" w:rsidRDefault="00EA0718" w:rsidP="00D70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Proposal for the profit distribution Plan 2023 and the expected profit distribution 2024;</w:t>
      </w:r>
    </w:p>
    <w:p w14:paraId="0EDAE909" w14:textId="77777777" w:rsidR="001E2907" w:rsidRPr="00D70A4B" w:rsidRDefault="00EA0718" w:rsidP="00D70A4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Company has the following profits in 2023: VND 3,381 billion, but due to the Company's financial situation being in a </w:t>
      </w:r>
      <w:r>
        <w:rPr>
          <w:rFonts w:ascii="Arial" w:hAnsi="Arial"/>
          <w:color w:val="010000"/>
          <w:sz w:val="20"/>
        </w:rPr>
        <w:t>state of accumulated losses, the accumulated loss until December 31, 2023 is VND 68,520 billion, so in 2023 no dividends will be paid</w:t>
      </w:r>
    </w:p>
    <w:p w14:paraId="7F2AA92A" w14:textId="77777777" w:rsidR="001E2907" w:rsidRPr="00D70A4B" w:rsidRDefault="00EA0718" w:rsidP="00D70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Proposal on Settlement of Remuneration for the Board of Directors and the Audit Committee in 2023 and the Prop</w:t>
      </w:r>
      <w:r>
        <w:rPr>
          <w:rFonts w:ascii="Arial" w:hAnsi="Arial"/>
          <w:color w:val="010000"/>
          <w:sz w:val="20"/>
        </w:rPr>
        <w:t>osal on Remuneration for members of the Board of Directors and members of the Audit Committee in 2024;</w:t>
      </w:r>
    </w:p>
    <w:p w14:paraId="22A89CDE" w14:textId="77777777" w:rsidR="001E2907" w:rsidRPr="00D70A4B" w:rsidRDefault="00EA0718" w:rsidP="00D70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Proposal on selecting an audit company for the fiscal year 2024. The General Meeting of Shareholders authorizes the Audit Committee to select</w:t>
      </w:r>
      <w:r>
        <w:rPr>
          <w:rFonts w:ascii="Arial" w:hAnsi="Arial"/>
          <w:color w:val="010000"/>
          <w:sz w:val="20"/>
        </w:rPr>
        <w:t xml:space="preserve"> an Audit Company named in the list of Independent Audit Company eligible for audit under current regulations to conduct an audit of </w:t>
      </w:r>
      <w:r>
        <w:rPr>
          <w:rFonts w:ascii="Arial" w:hAnsi="Arial"/>
          <w:color w:val="010000"/>
          <w:sz w:val="20"/>
        </w:rPr>
        <w:lastRenderedPageBreak/>
        <w:t>the Semi-annual financial statements of 2024 and financial statements of 2024 (Quarterly financial statements can be review</w:t>
      </w:r>
      <w:r>
        <w:rPr>
          <w:rFonts w:ascii="Arial" w:hAnsi="Arial"/>
          <w:color w:val="010000"/>
          <w:sz w:val="20"/>
        </w:rPr>
        <w:t>ed if necessary according to requirements of State management agencies);</w:t>
      </w:r>
    </w:p>
    <w:p w14:paraId="3996C265" w14:textId="77777777" w:rsidR="001E2907" w:rsidRPr="00D70A4B" w:rsidRDefault="00EA0718" w:rsidP="00D70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Ms. Bui Huong Lien's application for resignation as a member of the Board of Directors and a proposal to add members of the Board of Directors;</w:t>
      </w:r>
    </w:p>
    <w:p w14:paraId="67AC7D0C" w14:textId="77777777" w:rsidR="001E2907" w:rsidRPr="00D70A4B" w:rsidRDefault="00EA0718" w:rsidP="00D70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the list of additional </w:t>
      </w:r>
      <w:r>
        <w:rPr>
          <w:rFonts w:ascii="Arial" w:hAnsi="Arial"/>
          <w:color w:val="010000"/>
          <w:sz w:val="20"/>
        </w:rPr>
        <w:t>elected board members for the term 2022- 2027 is as follows:</w:t>
      </w:r>
    </w:p>
    <w:p w14:paraId="5F4625D3" w14:textId="77777777" w:rsidR="001E2907" w:rsidRPr="00D70A4B" w:rsidRDefault="00EA0718" w:rsidP="00D70A4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Mr. Phan Quoc Duy was elected a member of the Board of Directors </w:t>
      </w:r>
    </w:p>
    <w:p w14:paraId="21260225" w14:textId="77777777" w:rsidR="001E2907" w:rsidRPr="00D70A4B" w:rsidRDefault="00EA0718" w:rsidP="00D70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Through other content: </w:t>
      </w:r>
      <w:r>
        <w:rPr>
          <w:rFonts w:ascii="Arial" w:hAnsi="Arial"/>
          <w:color w:val="010000"/>
          <w:sz w:val="20"/>
        </w:rPr>
        <w:t>Authorize the Board of Directors to actively seek and select a plan to effectively exploit the land at 88 Truong Chinh and report to the nearest General Meeting of Shareholders.</w:t>
      </w:r>
    </w:p>
    <w:p w14:paraId="4A2D0DE6" w14:textId="66294070" w:rsidR="001E2907" w:rsidRPr="00D70A4B" w:rsidRDefault="00EA0718" w:rsidP="00D70A4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The General Mandate was approved in full text by the Annual General</w:t>
      </w:r>
      <w:r>
        <w:rPr>
          <w:rFonts w:ascii="Arial" w:hAnsi="Arial"/>
          <w:color w:val="010000"/>
          <w:sz w:val="20"/>
        </w:rPr>
        <w:t xml:space="preserve"> Meeting of Shareholders 2024</w:t>
      </w:r>
      <w:r>
        <w:rPr>
          <w:rFonts w:ascii="Arial" w:hAnsi="Arial"/>
          <w:color w:val="010000"/>
          <w:sz w:val="20"/>
        </w:rPr>
        <w:t xml:space="preserve"> at the Meeting. The Board of Directors and the Board of Managers of the Company are responsible for the implementation of this General Mandate.</w:t>
      </w:r>
    </w:p>
    <w:p w14:paraId="3D7AFCD5" w14:textId="77777777" w:rsidR="001E2907" w:rsidRPr="00D70A4B" w:rsidRDefault="00EA0718" w:rsidP="00D70A4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This General Mandate takes effect from the date of its signing.</w:t>
      </w:r>
    </w:p>
    <w:p w14:paraId="32424DC6" w14:textId="77777777" w:rsidR="001E2907" w:rsidRPr="00D70A4B" w:rsidRDefault="001E2907" w:rsidP="00D70A4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1E2907" w:rsidRPr="00D70A4B" w:rsidSect="007C3DC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D1823"/>
    <w:multiLevelType w:val="multilevel"/>
    <w:tmpl w:val="5874CC0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07"/>
    <w:rsid w:val="001E2907"/>
    <w:rsid w:val="007C3DCD"/>
    <w:rsid w:val="00D70A4B"/>
    <w:rsid w:val="00E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285F"/>
  <w15:docId w15:val="{60EF4FEE-6E54-4254-8925-94576232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5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b/>
      <w:bCs/>
      <w:sz w:val="9"/>
      <w:szCs w:val="9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04" w:lineRule="auto"/>
    </w:pPr>
    <w:rPr>
      <w:rFonts w:ascii="Arial" w:eastAsia="Arial" w:hAnsi="Arial" w:cs="Arial"/>
      <w:sz w:val="8"/>
      <w:szCs w:val="8"/>
    </w:rPr>
  </w:style>
  <w:style w:type="paragraph" w:customStyle="1" w:styleId="Tablecaption0">
    <w:name w:val="Table caption"/>
    <w:basedOn w:val="Normal"/>
    <w:link w:val="Tablecaption"/>
    <w:pPr>
      <w:jc w:val="center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95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uyYC6gT4Flz6AhCjviFqEQJHpA==">CgMxLjAyCGguZ2pkZ3hzOAByITFQTlE3dUtNb01hTllndWJiMW5LSE5lOXJuQTl1YlhJZw==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4</cp:revision>
  <dcterms:created xsi:type="dcterms:W3CDTF">2024-05-08T04:17:00Z</dcterms:created>
  <dcterms:modified xsi:type="dcterms:W3CDTF">2024-05-09T03:03:00Z</dcterms:modified>
</cp:coreProperties>
</file>