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1"/>
          <w:i w:val="0"/>
          <w:smallCaps w:val="0"/>
          <w:strike w:val="0"/>
          <w:color w:val="010000"/>
          <w:sz w:val="20"/>
          <w:szCs w:val="20"/>
          <w:u w:val="none"/>
          <w:shd w:fill="auto" w:val="clear"/>
          <w:vertAlign w:val="baseline"/>
          <w:rFonts w:ascii="Arial" w:cs="Arial" w:eastAsia="Arial" w:hAnsi="Arial"/>
        </w:rPr>
      </w:pPr>
      <w:r>
        <w:rPr>
          <w:b w:val="1"/>
          <w:i w:val="0"/>
          <w:smallCaps w:val="0"/>
          <w:strike w:val="0"/>
          <w:color w:val="010000"/>
          <w:sz w:val="20"/>
          <w:u w:val="none"/>
          <w:shd w:fill="auto" w:val="clear"/>
          <w:vertAlign w:val="baseline"/>
          <w:rtl w:val="0"/>
          <w:rFonts w:ascii="Arial" w:hAnsi="Arial"/>
        </w:rPr>
        <w:t xml:space="preserve">VTL:</w:t>
      </w:r>
      <w:r>
        <w:rPr>
          <w:b w:val="1"/>
          <w:i w:val="0"/>
          <w:smallCaps w:val="0"/>
          <w:strike w:val="0"/>
          <w:color w:val="010000"/>
          <w:sz w:val="20"/>
          <w:u w:val="none"/>
          <w:shd w:fill="auto" w:val="clear"/>
          <w:vertAlign w:val="baseline"/>
          <w:rtl w:val="0"/>
          <w:rFonts w:ascii="Arial" w:hAnsi="Arial"/>
        </w:rPr>
        <w:t xml:space="preserve"> </w:t>
      </w:r>
      <w:r>
        <w:rPr>
          <w:b w:val="1"/>
          <w:i w:val="0"/>
          <w:smallCaps w:val="0"/>
          <w:strike w:val="0"/>
          <w:color w:val="010000"/>
          <w:sz w:val="20"/>
          <w:u w:val="none"/>
          <w:shd w:fill="auto" w:val="clear"/>
          <w:vertAlign w:val="baseline"/>
          <w:rtl w:val="0"/>
          <w:rFonts w:ascii="Arial" w:hAnsi="Arial"/>
        </w:rPr>
        <w:t xml:space="preserve">Annual General Mandate 2024</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On May 3, 2024, Thang Long Wine JSC announced General Mandate as follows: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‎‎Article 1.</w:t>
      </w:r>
      <w:r>
        <w:rPr>
          <w:b w:val="0"/>
          <w:i w:val="0"/>
          <w:smallCaps w:val="0"/>
          <w:strike w:val="0"/>
          <w:color w:val="010000"/>
          <w:sz w:val="20"/>
          <w:u w:val="none"/>
          <w:shd w:fill="auto" w:val="clear"/>
          <w:vertAlign w:val="baseline"/>
          <w:rtl w:val="0"/>
          <w:rFonts w:ascii="Arial" w:hAnsi="Arial"/>
        </w:rPr>
        <w:t xml:space="preserve"> </w:t>
      </w:r>
      <w:r>
        <w:rPr>
          <w:b w:val="0"/>
          <w:i w:val="0"/>
          <w:smallCaps w:val="0"/>
          <w:strike w:val="0"/>
          <w:color w:val="010000"/>
          <w:sz w:val="20"/>
          <w:u w:val="none"/>
          <w:shd w:fill="auto" w:val="clear"/>
          <w:vertAlign w:val="baseline"/>
          <w:rtl w:val="0"/>
          <w:rFonts w:ascii="Arial" w:hAnsi="Arial"/>
        </w:rPr>
        <w:t xml:space="preserve">The General Meeting of Shareholders of the Company voted to approve the following General Mandates:</w:t>
      </w:r>
    </w:p>
    <w:p w:rsidR="00000000" w:rsidDel="00000000" w:rsidP="00000000" w:rsidRDefault="00000000" w:rsidRPr="00000000" w14:paraId="0000000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83"/>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General Mandate 1:</w:t>
      </w:r>
      <w:r>
        <w:rPr>
          <w:b w:val="0"/>
          <w:i w:val="0"/>
          <w:smallCaps w:val="0"/>
          <w:strike w:val="0"/>
          <w:color w:val="010000"/>
          <w:sz w:val="20"/>
          <w:u w:val="none"/>
          <w:shd w:fill="auto" w:val="clear"/>
          <w:vertAlign w:val="baseline"/>
          <w:rtl w:val="0"/>
          <w:rFonts w:ascii="Arial" w:hAnsi="Arial"/>
        </w:rPr>
        <w:t xml:space="preserve"> </w:t>
      </w:r>
      <w:r>
        <w:rPr>
          <w:b w:val="0"/>
          <w:i w:val="0"/>
          <w:smallCaps w:val="0"/>
          <w:strike w:val="0"/>
          <w:color w:val="010000"/>
          <w:sz w:val="20"/>
          <w:u w:val="none"/>
          <w:shd w:fill="auto" w:val="clear"/>
          <w:vertAlign w:val="baseline"/>
          <w:rtl w:val="0"/>
          <w:rFonts w:ascii="Arial" w:hAnsi="Arial"/>
        </w:rPr>
        <w:t xml:space="preserve">The General Meeting of Shareholders approves the Board of Directors' Report on the results of production and business activities in 2023 and the production and business plan for 2024.</w:t>
      </w:r>
    </w:p>
    <w:p w:rsidR="00000000" w:rsidDel="00000000" w:rsidP="00000000" w:rsidRDefault="00000000" w:rsidRPr="00000000" w14:paraId="0000000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383"/>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Results of production and business activities according to the consolidated Financial Statements 2023:</w:t>
      </w:r>
    </w:p>
    <w:tbl>
      <w:tblPr>
        <w:tblStyle w:val="Table1"/>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9"/>
        <w:gridCol w:w="3194"/>
        <w:gridCol w:w="1596"/>
        <w:gridCol w:w="1616"/>
        <w:gridCol w:w="2022"/>
        <w:tblGridChange w:id="0">
          <w:tblGrid>
            <w:gridCol w:w="589"/>
            <w:gridCol w:w="3194"/>
            <w:gridCol w:w="1596"/>
            <w:gridCol w:w="1616"/>
            <w:gridCol w:w="2022"/>
          </w:tblGrid>
        </w:tblGridChange>
      </w:tblGrid>
      <w:tr>
        <w:trPr>
          <w:cantSplit w:val="0"/>
          <w:tblHeader w:val="0"/>
        </w:trPr>
        <w:tc>
          <w:tcPr>
            <w:shd w:fill="auto" w:val="clear"/>
            <w:tcMar>
              <w:top w:w="0.0" w:type="dxa"/>
              <w:bottom w:w="0.0" w:type="dxa"/>
            </w:tcMar>
            <w:vAlign w:val="cente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No.</w:t>
            </w:r>
          </w:p>
        </w:tc>
        <w:tc>
          <w:tcPr>
            <w:shd w:fill="auto" w:val="clear"/>
            <w:tcMar>
              <w:top w:w="0.0" w:type="dxa"/>
              <w:bottom w:w="0.0" w:type="dxa"/>
            </w:tcMar>
            <w:vAlign w:val="center"/>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Target</w:t>
            </w:r>
          </w:p>
        </w:tc>
        <w:tc>
          <w:tcPr>
            <w:shd w:fill="auto" w:val="clear"/>
            <w:tcMar>
              <w:top w:w="0.0" w:type="dxa"/>
              <w:bottom w:w="0.0" w:type="dxa"/>
            </w:tcMar>
            <w:vAlign w:val="cente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Results 2022</w:t>
            </w:r>
          </w:p>
        </w:tc>
        <w:tc>
          <w:tcPr>
            <w:shd w:fill="auto" w:val="clear"/>
            <w:tcMar>
              <w:top w:w="0.0" w:type="dxa"/>
              <w:bottom w:w="0.0" w:type="dxa"/>
            </w:tcMar>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Results 2023</w:t>
            </w:r>
          </w:p>
        </w:tc>
        <w:tc>
          <w:tcPr>
            <w:shd w:fill="auto" w:val="clear"/>
            <w:tcMar>
              <w:top w:w="0.0" w:type="dxa"/>
              <w:bottom w:w="0.0" w:type="dxa"/>
            </w:tcMar>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Comparison between 2023 and 2022</w:t>
            </w:r>
          </w:p>
        </w:tc>
      </w:tr>
      <w:tr>
        <w:trPr>
          <w:cantSplit w:val="0"/>
          <w:tblHeader w:val="0"/>
        </w:trPr>
        <w:tc>
          <w:tcPr>
            <w:shd w:fill="auto" w:val="clear"/>
            <w:tcMar>
              <w:top w:w="0.0" w:type="dxa"/>
              <w:bottom w:w="0.0" w:type="dxa"/>
            </w:tcMar>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w:t>
            </w:r>
          </w:p>
        </w:tc>
        <w:tc>
          <w:tcPr>
            <w:shd w:fill="auto" w:val="clear"/>
            <w:tcMar>
              <w:top w:w="0.0" w:type="dxa"/>
              <w:bottom w:w="0.0" w:type="dxa"/>
            </w:tcMar>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Net revenue</w:t>
            </w:r>
          </w:p>
        </w:tc>
        <w:tc>
          <w:tcPr>
            <w:shd w:fill="auto" w:val="clear"/>
            <w:tcMar>
              <w:top w:w="0.0" w:type="dxa"/>
              <w:bottom w:w="0.0" w:type="dxa"/>
            </w:tcMar>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79.86</w:t>
            </w:r>
          </w:p>
        </w:tc>
        <w:tc>
          <w:tcPr>
            <w:shd w:fill="auto" w:val="clear"/>
            <w:tcMar>
              <w:top w:w="0.0" w:type="dxa"/>
              <w:bottom w:w="0.0" w:type="dxa"/>
            </w:tcMar>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12.03</w:t>
            </w:r>
          </w:p>
        </w:tc>
        <w:tc>
          <w:tcPr>
            <w:shd w:fill="auto" w:val="clear"/>
            <w:tcMar>
              <w:top w:w="0.0" w:type="dxa"/>
              <w:bottom w:w="0.0" w:type="dxa"/>
            </w:tcMar>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15.06%</w:t>
            </w:r>
          </w:p>
        </w:tc>
      </w:tr>
      <w:tr>
        <w:trPr>
          <w:cantSplit w:val="0"/>
          <w:tblHeader w:val="0"/>
        </w:trPr>
        <w:tc>
          <w:tcPr>
            <w:shd w:fill="auto" w:val="clear"/>
            <w:tcMar>
              <w:top w:w="0.0" w:type="dxa"/>
              <w:bottom w:w="0.0" w:type="dxa"/>
            </w:tcMar>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2</w:t>
            </w:r>
          </w:p>
        </w:tc>
        <w:tc>
          <w:tcPr>
            <w:shd w:fill="auto" w:val="clear"/>
            <w:tcMar>
              <w:top w:w="0.0" w:type="dxa"/>
              <w:bottom w:w="0.0" w:type="dxa"/>
            </w:tcMar>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Profit before tax:</w:t>
            </w:r>
          </w:p>
        </w:tc>
        <w:tc>
          <w:tcPr>
            <w:shd w:fill="auto" w:val="clear"/>
            <w:tcMar>
              <w:top w:w="0.0" w:type="dxa"/>
              <w:bottom w:w="0.0" w:type="dxa"/>
            </w:tcMa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(35.72)</w:t>
            </w:r>
          </w:p>
        </w:tc>
        <w:tc>
          <w:tcPr>
            <w:shd w:fill="auto" w:val="clear"/>
            <w:tcMar>
              <w:top w:w="0.0" w:type="dxa"/>
              <w:bottom w:w="0.0" w:type="dxa"/>
            </w:tcM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(9.35)</w:t>
            </w:r>
          </w:p>
        </w:tc>
        <w:tc>
          <w:tcPr>
            <w:shd w:fill="auto" w:val="clear"/>
            <w:tcMar>
              <w:top w:w="0.0" w:type="dxa"/>
              <w:bottom w:w="0.0" w:type="dxa"/>
            </w:tcMar>
            <w:vAlign w:val="center"/>
          </w:tcPr>
          <w:p w:rsidR="00000000" w:rsidDel="00000000" w:rsidP="00000000" w:rsidRDefault="00000000" w:rsidRPr="00000000" w14:paraId="00000014">
            <w:pPr>
              <w:tabs>
                <w:tab w:val="left" w:leader="none" w:pos="432"/>
              </w:tabs>
              <w:spacing w:after="120" w:line="360" w:lineRule="auto"/>
              <w:rPr>
                <w:rFonts w:ascii="Arial" w:cs="Arial" w:eastAsia="Arial" w:hAnsi="Arial"/>
                <w:color w:val="010000"/>
                <w:sz w:val="20"/>
                <w:szCs w:val="20"/>
              </w:rPr>
            </w:pPr>
            <w:r w:rsidDel="00000000" w:rsidR="00000000" w:rsidRPr="00000000">
              <w:rPr>
                <w:rtl w:val="0"/>
              </w:rPr>
            </w:r>
          </w:p>
        </w:tc>
      </w:tr>
      <w:tr>
        <w:trPr>
          <w:cantSplit w:val="0"/>
          <w:tblHeader w:val="0"/>
        </w:trPr>
        <w:tc>
          <w:tcPr>
            <w:shd w:fill="auto" w:val="clear"/>
            <w:tcMar>
              <w:top w:w="0.0" w:type="dxa"/>
              <w:bottom w:w="0.0" w:type="dxa"/>
            </w:tcM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3</w:t>
            </w:r>
          </w:p>
        </w:tc>
        <w:tc>
          <w:tcPr>
            <w:shd w:fill="auto" w:val="clear"/>
            <w:tcMar>
              <w:top w:w="0.0" w:type="dxa"/>
              <w:bottom w:w="0.0" w:type="dxa"/>
            </w:tcMar>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Profit after tax</w:t>
            </w:r>
          </w:p>
        </w:tc>
        <w:tc>
          <w:tcPr>
            <w:shd w:fill="auto" w:val="clear"/>
            <w:tcMar>
              <w:top w:w="0.0" w:type="dxa"/>
              <w:bottom w:w="0.0" w:type="dxa"/>
            </w:tcMar>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(35.72)</w:t>
            </w:r>
          </w:p>
        </w:tc>
        <w:tc>
          <w:tcPr>
            <w:shd w:fill="auto" w:val="clear"/>
            <w:tcMar>
              <w:top w:w="0.0" w:type="dxa"/>
              <w:bottom w:w="0.0" w:type="dxa"/>
            </w:tcM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(9.35)</w:t>
            </w:r>
          </w:p>
        </w:tc>
        <w:tc>
          <w:tcPr>
            <w:shd w:fill="auto" w:val="clear"/>
            <w:tcMar>
              <w:top w:w="0.0" w:type="dxa"/>
              <w:bottom w:w="0.0" w:type="dxa"/>
            </w:tcMar>
            <w:vAlign w:val="center"/>
          </w:tcPr>
          <w:p w:rsidR="00000000" w:rsidDel="00000000" w:rsidP="00000000" w:rsidRDefault="00000000" w:rsidRPr="00000000" w14:paraId="00000019">
            <w:pPr>
              <w:tabs>
                <w:tab w:val="left" w:leader="none" w:pos="432"/>
              </w:tabs>
              <w:spacing w:after="120" w:line="360" w:lineRule="auto"/>
              <w:rPr>
                <w:rFonts w:ascii="Arial" w:cs="Arial" w:eastAsia="Arial" w:hAnsi="Arial"/>
                <w:color w:val="010000"/>
                <w:sz w:val="20"/>
                <w:szCs w:val="20"/>
              </w:rPr>
            </w:pPr>
            <w:r w:rsidDel="00000000" w:rsidR="00000000" w:rsidRPr="00000000">
              <w:rPr>
                <w:rtl w:val="0"/>
              </w:rPr>
            </w:r>
          </w:p>
        </w:tc>
      </w:tr>
    </w:tbl>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3"/>
          <w:tab w:val="left" w:leader="none" w:pos="432"/>
        </w:tabs>
        <w:spacing w:after="120" w:before="0" w:line="360" w:lineRule="auto"/>
        <w:ind w:left="0" w:right="0" w:firstLine="0"/>
        <w:jc w:val="left"/>
        <w:rPr>
          <w:rFonts w:ascii="Arial" w:cs="Arial" w:eastAsia="Arial" w:hAnsi="Arial"/>
          <w:b w:val="0"/>
          <w:i w:val="0"/>
          <w:smallCaps w:val="0"/>
          <w:strike w:val="0"/>
          <w:color w:val="01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383"/>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Results of production and business activities according to the separate Financial Statements 2023:</w:t>
      </w:r>
    </w:p>
    <w:tbl>
      <w:tblPr>
        <w:tblStyle w:val="Table2"/>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3"/>
        <w:gridCol w:w="3183"/>
        <w:gridCol w:w="1605"/>
        <w:gridCol w:w="1628"/>
        <w:gridCol w:w="2018"/>
        <w:tblGridChange w:id="0">
          <w:tblGrid>
            <w:gridCol w:w="583"/>
            <w:gridCol w:w="3183"/>
            <w:gridCol w:w="1605"/>
            <w:gridCol w:w="1628"/>
            <w:gridCol w:w="2018"/>
          </w:tblGrid>
        </w:tblGridChange>
      </w:tblGrid>
      <w:tr>
        <w:trPr>
          <w:cantSplit w:val="0"/>
          <w:tblHeader w:val="0"/>
        </w:trPr>
        <w:tc>
          <w:tcPr>
            <w:shd w:fill="auto" w:val="clear"/>
            <w:tcMar>
              <w:top w:w="0.0" w:type="dxa"/>
              <w:bottom w:w="0.0" w:type="dxa"/>
            </w:tcMar>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No.</w:t>
            </w:r>
          </w:p>
        </w:tc>
        <w:tc>
          <w:tcPr>
            <w:shd w:fill="auto" w:val="clear"/>
            <w:tcMar>
              <w:top w:w="0.0" w:type="dxa"/>
              <w:bottom w:w="0.0" w:type="dxa"/>
            </w:tcMa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Target</w:t>
            </w:r>
          </w:p>
        </w:tc>
        <w:tc>
          <w:tcPr>
            <w:shd w:fill="auto" w:val="clear"/>
            <w:tcMar>
              <w:top w:w="0.0" w:type="dxa"/>
              <w:bottom w:w="0.0" w:type="dxa"/>
            </w:tcMa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Results 2022</w:t>
            </w:r>
          </w:p>
        </w:tc>
        <w:tc>
          <w:tcPr>
            <w:shd w:fill="auto" w:val="clear"/>
            <w:tcMar>
              <w:top w:w="0.0" w:type="dxa"/>
              <w:bottom w:w="0.0" w:type="dxa"/>
            </w:tcMa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Results 2023</w:t>
            </w:r>
          </w:p>
        </w:tc>
        <w:tc>
          <w:tcPr>
            <w:shd w:fill="auto" w:val="clear"/>
            <w:tcMar>
              <w:top w:w="0.0" w:type="dxa"/>
              <w:bottom w:w="0.0" w:type="dxa"/>
            </w:tcM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Comparison between 2023 and 2022</w:t>
            </w:r>
          </w:p>
        </w:tc>
      </w:tr>
      <w:tr>
        <w:trPr>
          <w:cantSplit w:val="0"/>
          <w:tblHeader w:val="0"/>
        </w:trPr>
        <w:tc>
          <w:tcPr>
            <w:shd w:fill="auto" w:val="clear"/>
            <w:tcMar>
              <w:top w:w="0.0" w:type="dxa"/>
              <w:bottom w:w="0.0" w:type="dxa"/>
            </w:tcMar>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w:t>
            </w:r>
          </w:p>
        </w:tc>
        <w:tc>
          <w:tcPr>
            <w:shd w:fill="auto" w:val="clear"/>
            <w:tcMar>
              <w:top w:w="0.0" w:type="dxa"/>
              <w:bottom w:w="0.0" w:type="dxa"/>
            </w:tcM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Net revenue</w:t>
            </w:r>
          </w:p>
        </w:tc>
        <w:tc>
          <w:tcPr>
            <w:shd w:fill="auto" w:val="clear"/>
            <w:tcMar>
              <w:top w:w="0.0" w:type="dxa"/>
              <w:bottom w:w="0.0" w:type="dxa"/>
            </w:tcMar>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76.93</w:t>
            </w:r>
          </w:p>
        </w:tc>
        <w:tc>
          <w:tcPr>
            <w:shd w:fill="auto" w:val="clear"/>
            <w:tcMar>
              <w:top w:w="0.0" w:type="dxa"/>
              <w:bottom w:w="0.0" w:type="dxa"/>
            </w:tcMa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12.3</w:t>
            </w:r>
          </w:p>
        </w:tc>
        <w:tc>
          <w:tcPr>
            <w:shd w:fill="auto" w:val="clear"/>
            <w:tcMar>
              <w:top w:w="0.0" w:type="dxa"/>
              <w:bottom w:w="0.0" w:type="dxa"/>
            </w:tcMar>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15.99%</w:t>
            </w:r>
          </w:p>
        </w:tc>
      </w:tr>
      <w:tr>
        <w:trPr>
          <w:cantSplit w:val="0"/>
          <w:tblHeader w:val="0"/>
        </w:trPr>
        <w:tc>
          <w:tcPr>
            <w:shd w:fill="auto" w:val="clear"/>
            <w:tcMar>
              <w:top w:w="0.0" w:type="dxa"/>
              <w:bottom w:w="0.0" w:type="dxa"/>
            </w:tcM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2</w:t>
            </w:r>
          </w:p>
        </w:tc>
        <w:tc>
          <w:tcPr>
            <w:shd w:fill="auto" w:val="clear"/>
            <w:tcMar>
              <w:top w:w="0.0" w:type="dxa"/>
              <w:bottom w:w="0.0" w:type="dxa"/>
            </w:tcM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rFonts w:ascii="Arial" w:hAnsi="Arial"/>
              </w:rPr>
              <w:t xml:space="preserve">Profit before tax</w:t>
            </w:r>
          </w:p>
        </w:tc>
        <w:tc>
          <w:tcPr>
            <w:shd w:fill="auto" w:val="clear"/>
            <w:tcMar>
              <w:top w:w="0.0" w:type="dxa"/>
              <w:bottom w:w="0.0" w:type="dxa"/>
            </w:tcMa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(36.13)</w:t>
            </w:r>
          </w:p>
        </w:tc>
        <w:tc>
          <w:tcPr>
            <w:shd w:fill="auto" w:val="clear"/>
            <w:tcMar>
              <w:top w:w="0.0" w:type="dxa"/>
              <w:bottom w:w="0.0" w:type="dxa"/>
            </w:tcM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(8.33)</w:t>
            </w:r>
          </w:p>
        </w:tc>
        <w:tc>
          <w:tcPr>
            <w:shd w:fill="auto" w:val="clear"/>
            <w:tcMar>
              <w:top w:w="0.0" w:type="dxa"/>
              <w:bottom w:w="0.0" w:type="dxa"/>
            </w:tcMar>
            <w:vAlign w:val="center"/>
          </w:tcPr>
          <w:p w:rsidR="00000000" w:rsidDel="00000000" w:rsidP="00000000" w:rsidRDefault="00000000" w:rsidRPr="00000000" w14:paraId="0000002A">
            <w:pPr>
              <w:tabs>
                <w:tab w:val="left" w:leader="none" w:pos="432"/>
              </w:tabs>
              <w:spacing w:after="120" w:line="360" w:lineRule="auto"/>
              <w:rPr>
                <w:rFonts w:ascii="Arial" w:cs="Arial" w:eastAsia="Arial" w:hAnsi="Arial"/>
                <w:color w:val="010000"/>
                <w:sz w:val="20"/>
                <w:szCs w:val="20"/>
              </w:rPr>
            </w:pPr>
            <w:r w:rsidDel="00000000" w:rsidR="00000000" w:rsidRPr="00000000">
              <w:rPr>
                <w:rtl w:val="0"/>
              </w:rPr>
            </w:r>
          </w:p>
        </w:tc>
      </w:tr>
      <w:tr>
        <w:trPr>
          <w:cantSplit w:val="0"/>
          <w:tblHeader w:val="0"/>
        </w:trPr>
        <w:tc>
          <w:tcPr>
            <w:shd w:fill="auto" w:val="clear"/>
            <w:tcMar>
              <w:top w:w="0.0" w:type="dxa"/>
              <w:bottom w:w="0.0" w:type="dxa"/>
            </w:tcMar>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3</w:t>
            </w:r>
          </w:p>
        </w:tc>
        <w:tc>
          <w:tcPr>
            <w:shd w:fill="auto" w:val="clear"/>
            <w:tcMar>
              <w:top w:w="0.0" w:type="dxa"/>
              <w:bottom w:w="0.0" w:type="dxa"/>
            </w:tcMa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Profit after tax</w:t>
            </w:r>
          </w:p>
        </w:tc>
        <w:tc>
          <w:tcPr>
            <w:shd w:fill="auto" w:val="clear"/>
            <w:tcMar>
              <w:top w:w="0.0" w:type="dxa"/>
              <w:bottom w:w="0.0" w:type="dxa"/>
            </w:tcM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(36.13)</w:t>
            </w:r>
          </w:p>
        </w:tc>
        <w:tc>
          <w:tcPr>
            <w:shd w:fill="auto" w:val="clear"/>
            <w:tcMar>
              <w:top w:w="0.0" w:type="dxa"/>
              <w:bottom w:w="0.0" w:type="dxa"/>
            </w:tcM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(8.33)</w:t>
            </w:r>
          </w:p>
        </w:tc>
        <w:tc>
          <w:tcPr>
            <w:shd w:fill="auto" w:val="clear"/>
            <w:tcMar>
              <w:top w:w="0.0" w:type="dxa"/>
              <w:bottom w:w="0.0" w:type="dxa"/>
            </w:tcMar>
            <w:vAlign w:val="center"/>
          </w:tcPr>
          <w:p w:rsidR="00000000" w:rsidDel="00000000" w:rsidP="00000000" w:rsidRDefault="00000000" w:rsidRPr="00000000" w14:paraId="0000002F">
            <w:pPr>
              <w:tabs>
                <w:tab w:val="left" w:leader="none" w:pos="432"/>
              </w:tabs>
              <w:spacing w:after="120" w:line="360" w:lineRule="auto"/>
              <w:rPr>
                <w:rFonts w:ascii="Arial" w:cs="Arial" w:eastAsia="Arial" w:hAnsi="Arial"/>
                <w:color w:val="010000"/>
                <w:sz w:val="20"/>
                <w:szCs w:val="20"/>
              </w:rPr>
            </w:pPr>
            <w:r w:rsidDel="00000000" w:rsidR="00000000" w:rsidRPr="00000000">
              <w:rPr>
                <w:rtl w:val="0"/>
              </w:rPr>
            </w:r>
          </w:p>
        </w:tc>
      </w:tr>
    </w:tbl>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3"/>
          <w:tab w:val="left" w:leader="none" w:pos="432"/>
        </w:tabs>
        <w:spacing w:after="120" w:before="0" w:line="360" w:lineRule="auto"/>
        <w:ind w:left="0" w:right="0" w:firstLine="0"/>
        <w:jc w:val="left"/>
        <w:rPr>
          <w:rFonts w:ascii="Arial" w:cs="Arial" w:eastAsia="Arial" w:hAnsi="Arial"/>
          <w:b w:val="0"/>
          <w:i w:val="0"/>
          <w:smallCaps w:val="0"/>
          <w:strike w:val="0"/>
          <w:color w:val="01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383"/>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Production and business plan for 2024</w:t>
      </w:r>
    </w:p>
    <w:p w:rsidR="00000000" w:rsidDel="00000000" w:rsidP="00000000" w:rsidRDefault="00000000" w:rsidRPr="00000000" w14:paraId="000000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32"/>
          <w:tab w:val="left" w:leader="none" w:pos="155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rFonts w:ascii="Arial" w:hAnsi="Arial"/>
        </w:rPr>
        <w:t xml:space="preserve">Based on the production and business situation in 2023 and the actual operating conditions, the Company has developed the following expected targets for 2024:</w:t>
      </w:r>
    </w:p>
    <w:p w:rsidR="00000000" w:rsidDel="00000000" w:rsidP="00000000" w:rsidRDefault="00000000" w:rsidRPr="00000000" w14:paraId="0000003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32"/>
          <w:tab w:val="left" w:leader="none" w:pos="2286"/>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Total net revenue:</w:t>
      </w:r>
      <w:r>
        <w:rPr>
          <w:b w:val="0"/>
          <w:i w:val="0"/>
          <w:smallCaps w:val="0"/>
          <w:strike w:val="0"/>
          <w:color w:val="010000"/>
          <w:sz w:val="20"/>
          <w:u w:val="none"/>
          <w:shd w:fill="auto" w:val="clear"/>
          <w:vertAlign w:val="baseline"/>
          <w:rtl w:val="0"/>
          <w:rFonts w:ascii="Arial" w:hAnsi="Arial"/>
        </w:rPr>
        <w:t xml:space="preserve"> </w:t>
      </w:r>
      <w:r>
        <w:rPr>
          <w:b w:val="0"/>
          <w:i w:val="0"/>
          <w:smallCaps w:val="0"/>
          <w:strike w:val="0"/>
          <w:color w:val="010000"/>
          <w:sz w:val="20"/>
          <w:u w:val="none"/>
          <w:shd w:fill="auto" w:val="clear"/>
          <w:vertAlign w:val="baseline"/>
          <w:rtl w:val="0"/>
          <w:rFonts w:ascii="Arial" w:hAnsi="Arial"/>
        </w:rPr>
        <w:t xml:space="preserve">VND 4.73 billion;</w:t>
      </w:r>
    </w:p>
    <w:p w:rsidR="00000000" w:rsidDel="00000000" w:rsidP="00000000" w:rsidRDefault="00000000" w:rsidRPr="00000000" w14:paraId="0000003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32"/>
          <w:tab w:val="left" w:leader="none" w:pos="2286"/>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Profit before tax:</w:t>
      </w:r>
      <w:r>
        <w:rPr>
          <w:b w:val="0"/>
          <w:i w:val="0"/>
          <w:smallCaps w:val="0"/>
          <w:strike w:val="0"/>
          <w:color w:val="010000"/>
          <w:sz w:val="20"/>
          <w:u w:val="none"/>
          <w:shd w:fill="auto" w:val="clear"/>
          <w:vertAlign w:val="baseline"/>
          <w:rtl w:val="0"/>
          <w:rFonts w:ascii="Arial" w:hAnsi="Arial"/>
        </w:rPr>
        <w:t xml:space="preserve"> </w:t>
      </w:r>
      <w:r>
        <w:rPr>
          <w:b w:val="0"/>
          <w:i w:val="0"/>
          <w:smallCaps w:val="0"/>
          <w:strike w:val="0"/>
          <w:color w:val="010000"/>
          <w:sz w:val="20"/>
          <w:u w:val="none"/>
          <w:shd w:fill="auto" w:val="clear"/>
          <w:vertAlign w:val="baseline"/>
          <w:rtl w:val="0"/>
          <w:rFonts w:ascii="Arial" w:hAnsi="Arial"/>
        </w:rPr>
        <w:t xml:space="preserve">VND (6.09) billion</w:t>
      </w:r>
    </w:p>
    <w:p w:rsidR="00000000" w:rsidDel="00000000" w:rsidP="00000000" w:rsidRDefault="00000000" w:rsidRPr="00000000" w14:paraId="0000003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83"/>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rFonts w:ascii="Arial" w:hAnsi="Arial"/>
        </w:rPr>
        <w:t xml:space="preserve">General Mandate 2:</w:t>
      </w:r>
      <w:r>
        <w:rPr>
          <w:color w:val="010000"/>
          <w:sz w:val="20"/>
          <w:rtl w:val="0"/>
          <w:b w:val="0"/>
          <w:i w:val="0"/>
          <w:smallCaps w:val="0"/>
          <w:strike w:val="0"/>
          <w:u w:val="none"/>
          <w:shd w:fill="auto" w:val="clear"/>
          <w:vertAlign w:val="baseline"/>
          <w:rFonts w:ascii="Arial" w:hAnsi="Arial"/>
        </w:rPr>
        <w:t xml:space="preserve"> </w:t>
      </w:r>
      <w:r>
        <w:rPr>
          <w:color w:val="010000"/>
          <w:sz w:val="20"/>
          <w:rtl w:val="0"/>
          <w:rFonts w:ascii="Arial" w:hAnsi="Arial"/>
        </w:rPr>
        <w:t xml:space="preserve">The General Meeting of Shareholders approves the separate and consolidated Financial Statements for 2023 of the Company audited according to the contents of Proposal No. 10/2024/TTr-HDQT dated April 8, 2024.</w:t>
      </w:r>
    </w:p>
    <w:p w:rsidR="00000000" w:rsidDel="00000000" w:rsidP="00000000" w:rsidRDefault="00000000" w:rsidRPr="00000000" w14:paraId="0000003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83"/>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rFonts w:ascii="Arial" w:hAnsi="Arial"/>
        </w:rPr>
        <w:t xml:space="preserve">General Mandate 3:</w:t>
      </w:r>
      <w:r>
        <w:rPr>
          <w:color w:val="010000"/>
          <w:sz w:val="20"/>
          <w:rtl w:val="0"/>
          <w:b w:val="0"/>
          <w:i w:val="0"/>
          <w:smallCaps w:val="0"/>
          <w:strike w:val="0"/>
          <w:u w:val="none"/>
          <w:shd w:fill="auto" w:val="clear"/>
          <w:vertAlign w:val="baseline"/>
          <w:rFonts w:ascii="Arial" w:hAnsi="Arial"/>
        </w:rPr>
        <w:t xml:space="preserve"> </w:t>
      </w:r>
      <w:r>
        <w:rPr>
          <w:color w:val="010000"/>
          <w:sz w:val="20"/>
          <w:rtl w:val="0"/>
          <w:b w:val="0"/>
          <w:i w:val="0"/>
          <w:smallCaps w:val="0"/>
          <w:strike w:val="0"/>
          <w:u w:val="none"/>
          <w:shd w:fill="auto" w:val="clear"/>
          <w:vertAlign w:val="baseline"/>
          <w:rFonts w:ascii="Arial" w:hAnsi="Arial"/>
        </w:rPr>
        <w:t xml:space="preserve">The General Meeting of Shareholders approves the Report on operational administration in 2023 and the Operational plan in 2024.</w:t>
      </w:r>
    </w:p>
    <w:p w:rsidR="00000000" w:rsidDel="00000000" w:rsidP="00000000" w:rsidRDefault="00000000" w:rsidRPr="00000000" w14:paraId="0000003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83"/>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rFonts w:ascii="Arial" w:hAnsi="Arial"/>
        </w:rPr>
        <w:t xml:space="preserve">General Mandate 4:</w:t>
      </w:r>
      <w:r>
        <w:rPr>
          <w:color w:val="010000"/>
          <w:sz w:val="20"/>
          <w:rtl w:val="0"/>
          <w:b w:val="0"/>
          <w:i w:val="0"/>
          <w:smallCaps w:val="0"/>
          <w:strike w:val="0"/>
          <w:u w:val="none"/>
          <w:shd w:fill="auto" w:val="clear"/>
          <w:vertAlign w:val="baseline"/>
          <w:rFonts w:ascii="Arial" w:hAnsi="Arial"/>
        </w:rPr>
        <w:t xml:space="preserve"> </w:t>
      </w:r>
      <w:r>
        <w:rPr>
          <w:color w:val="010000"/>
          <w:sz w:val="20"/>
          <w:rtl w:val="0"/>
          <w:rFonts w:ascii="Arial" w:hAnsi="Arial"/>
        </w:rPr>
        <w:t xml:space="preserve">The General Meeting of Shareholders approved the Report on the activities of the Supervisory Board in 2023 and the operation plan for 2024.</w:t>
      </w:r>
    </w:p>
    <w:p w:rsidR="00000000" w:rsidDel="00000000" w:rsidP="00000000" w:rsidRDefault="00000000" w:rsidRPr="00000000" w14:paraId="0000003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83"/>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rFonts w:ascii="Arial" w:hAnsi="Arial"/>
        </w:rPr>
        <w:t xml:space="preserve">General Mandate 5:</w:t>
      </w:r>
      <w:r>
        <w:rPr>
          <w:color w:val="010000"/>
          <w:sz w:val="20"/>
          <w:rtl w:val="0"/>
          <w:b w:val="0"/>
          <w:i w:val="0"/>
          <w:smallCaps w:val="0"/>
          <w:strike w:val="0"/>
          <w:u w:val="none"/>
          <w:shd w:fill="auto" w:val="clear"/>
          <w:vertAlign w:val="baseline"/>
          <w:rFonts w:ascii="Arial" w:hAnsi="Arial"/>
        </w:rPr>
        <w:t xml:space="preserve"> </w:t>
      </w:r>
      <w:r>
        <w:rPr>
          <w:color w:val="010000"/>
          <w:sz w:val="20"/>
          <w:rtl w:val="0"/>
          <w:rFonts w:ascii="Arial" w:hAnsi="Arial"/>
        </w:rPr>
        <w:t xml:space="preserve">The General Meeting of Shareholders approves the plan not to pay remuneration to members of the Board of Directors and Supervisory Board of the Company in 2023 and not to pay remuneration to members of the Board of Directors and Supervisory Board in 2024.</w:t>
      </w:r>
    </w:p>
    <w:p w:rsidR="00000000" w:rsidDel="00000000" w:rsidP="00000000" w:rsidRDefault="00000000" w:rsidRPr="00000000" w14:paraId="0000003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83"/>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rFonts w:ascii="Arial" w:hAnsi="Arial"/>
        </w:rPr>
        <w:t xml:space="preserve">General Mandate 6:</w:t>
      </w:r>
      <w:r>
        <w:rPr>
          <w:color w:val="010000"/>
          <w:sz w:val="20"/>
          <w:rtl w:val="0"/>
          <w:b w:val="0"/>
          <w:i w:val="0"/>
          <w:smallCaps w:val="0"/>
          <w:strike w:val="0"/>
          <w:u w:val="none"/>
          <w:shd w:fill="auto" w:val="clear"/>
          <w:vertAlign w:val="baseline"/>
          <w:rFonts w:ascii="Arial" w:hAnsi="Arial"/>
        </w:rPr>
        <w:t xml:space="preserve"> </w:t>
      </w:r>
      <w:r>
        <w:rPr>
          <w:color w:val="010000"/>
          <w:sz w:val="20"/>
          <w:rtl w:val="0"/>
          <w:rFonts w:ascii="Arial" w:hAnsi="Arial"/>
        </w:rPr>
        <w:t xml:space="preserve">The General Meeting of Shareholders approves the plan not to make appropriations to funds and not to pay dividends to shareholders in 2023 according to the contents of Proposal No. 08/2024/TTr-HDQT dated April 8, 2024 of the Board of Directors.</w:t>
      </w:r>
    </w:p>
    <w:p w:rsidR="00000000" w:rsidDel="00000000" w:rsidP="00000000" w:rsidRDefault="00000000" w:rsidRPr="00000000" w14:paraId="0000003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83"/>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rFonts w:ascii="Arial" w:hAnsi="Arial"/>
        </w:rPr>
        <w:t xml:space="preserve">General Mandate 7:</w:t>
      </w:r>
      <w:r>
        <w:rPr>
          <w:color w:val="010000"/>
          <w:sz w:val="20"/>
          <w:rtl w:val="0"/>
          <w:b w:val="0"/>
          <w:i w:val="0"/>
          <w:smallCaps w:val="0"/>
          <w:strike w:val="0"/>
          <w:u w:val="none"/>
          <w:shd w:fill="auto" w:val="clear"/>
          <w:vertAlign w:val="baseline"/>
          <w:rFonts w:ascii="Arial" w:hAnsi="Arial"/>
        </w:rPr>
        <w:t xml:space="preserve"> </w:t>
      </w:r>
      <w:r>
        <w:rPr>
          <w:color w:val="010000"/>
          <w:sz w:val="20"/>
          <w:rtl w:val="0"/>
          <w:rFonts w:ascii="Arial" w:hAnsi="Arial"/>
        </w:rPr>
        <w:t xml:space="preserve">The General Meeting of Shareholders approved the authorization for the Board of Directors to decide on the selection of the audit company to audit the  Financial Statements 2024 according to the contents of Proposal No. 11/2024/TTr-BKS dated April 8, 2024 of the Supervisory Board.</w:t>
      </w:r>
    </w:p>
    <w:p w:rsidR="00000000" w:rsidDel="00000000" w:rsidP="00000000" w:rsidRDefault="00000000" w:rsidRPr="00000000" w14:paraId="0000003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83"/>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b w:val="0"/>
          <w:i w:val="0"/>
          <w:smallCaps w:val="0"/>
          <w:strike w:val="0"/>
          <w:u w:val="none"/>
          <w:shd w:fill="auto" w:val="clear"/>
          <w:vertAlign w:val="baseline"/>
          <w:rFonts w:ascii="Arial" w:hAnsi="Arial"/>
        </w:rPr>
        <w:t xml:space="preserve">General Mandate 8:</w:t>
      </w:r>
      <w:r>
        <w:rPr>
          <w:color w:val="010000"/>
          <w:sz w:val="20"/>
          <w:rtl w:val="0"/>
          <w:b w:val="0"/>
          <w:i w:val="0"/>
          <w:smallCaps w:val="0"/>
          <w:strike w:val="0"/>
          <w:u w:val="none"/>
          <w:shd w:fill="auto" w:val="clear"/>
          <w:vertAlign w:val="baseline"/>
          <w:rFonts w:ascii="Arial" w:hAnsi="Arial"/>
        </w:rPr>
        <w:t xml:space="preserve"> </w:t>
      </w:r>
      <w:r>
        <w:rPr>
          <w:color w:val="010000"/>
          <w:sz w:val="20"/>
          <w:rtl w:val="0"/>
          <w:rFonts w:ascii="Arial" w:hAnsi="Arial"/>
        </w:rPr>
        <w:t xml:space="preserve">The General Meeting of Shareholders fully authorizes the Board of Directors and allows the Board of Directors to authorize the Chair of the Board of Directors or other members of the Board of Directors to consider, decide, and organize the implementation of the issues approved by the General Meeting of Shareholders and to consider and decide on other contents under the authority of the General Meeting of Shareholders arising between two annual General Meetings of Shareholders; carry out related procedures as prescribed.</w:t>
      </w:r>
      <w:r>
        <w:rPr>
          <w:color w:val="010000"/>
          <w:sz w:val="20"/>
          <w:rtl w:val="0"/>
          <w:b w:val="0"/>
          <w:i w:val="0"/>
          <w:smallCaps w:val="0"/>
          <w:strike w:val="0"/>
          <w:u w:val="none"/>
          <w:shd w:fill="auto" w:val="clear"/>
          <w:vertAlign w:val="baseline"/>
          <w:rFonts w:ascii="Arial" w:hAnsi="Arial"/>
        </w:rPr>
        <w:t xml:space="preserve"> </w:t>
      </w:r>
      <w:r>
        <w:rPr>
          <w:color w:val="010000"/>
          <w:sz w:val="20"/>
          <w:rtl w:val="0"/>
          <w:rFonts w:ascii="Arial" w:hAnsi="Arial"/>
        </w:rPr>
        <w:t xml:space="preserve">The General Mandates and contents of authorization according to the annual General Mandate 2023 are effective from the date of approval and have no limit on the validity period until the General Meeting of Shareholders has a different replacement Decision.</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b w:val="0"/>
          <w:i w:val="0"/>
          <w:smallCaps w:val="0"/>
          <w:strike w:val="0"/>
          <w:u w:val="none"/>
          <w:shd w:fill="auto" w:val="clear"/>
          <w:vertAlign w:val="baseline"/>
          <w:rFonts w:ascii="Arial" w:hAnsi="Arial"/>
        </w:rPr>
        <w:t xml:space="preserve">Article 2:</w:t>
      </w:r>
      <w:r>
        <w:rPr>
          <w:color w:val="010000"/>
          <w:sz w:val="20"/>
          <w:rtl w:val="0"/>
          <w:b w:val="0"/>
          <w:i w:val="0"/>
          <w:smallCaps w:val="0"/>
          <w:strike w:val="0"/>
          <w:u w:val="none"/>
          <w:shd w:fill="auto" w:val="clear"/>
          <w:vertAlign w:val="baseline"/>
          <w:rFonts w:ascii="Arial" w:hAnsi="Arial"/>
        </w:rPr>
        <w:t xml:space="preserve"> </w:t>
      </w:r>
      <w:r>
        <w:rPr>
          <w:color w:val="010000"/>
          <w:sz w:val="20"/>
          <w:rtl w:val="0"/>
          <w:rFonts w:ascii="Arial" w:hAnsi="Arial"/>
        </w:rPr>
        <w:t xml:space="preserve">This General Mandate takes effect from the date of signing.</w:t>
      </w:r>
      <w:r>
        <w:rPr>
          <w:color w:val="010000"/>
          <w:sz w:val="20"/>
          <w:rtl w:val="0"/>
          <w:b w:val="0"/>
          <w:i w:val="0"/>
          <w:smallCaps w:val="0"/>
          <w:strike w:val="0"/>
          <w:u w:val="none"/>
          <w:shd w:fill="auto" w:val="clear"/>
          <w:vertAlign w:val="baseline"/>
          <w:rFonts w:ascii="Arial" w:hAnsi="Arial"/>
        </w:rPr>
        <w:t xml:space="preserve"> </w:t>
      </w:r>
      <w:r>
        <w:rPr>
          <w:color w:val="010000"/>
          <w:sz w:val="20"/>
          <w:rtl w:val="0"/>
          <w:rFonts w:ascii="Arial" w:hAnsi="Arial"/>
        </w:rPr>
        <w:t xml:space="preserve">Shareholders, the Board of Directors, the Supervisory Board, the Board of Managers, Heads of departments/branches/units under the Company, and related individuals are responsible for implementing this General Mandate.</w:t>
      </w:r>
    </w:p>
    <w:p w:rsidR="00000000" w:rsidDel="00000000" w:rsidP="00000000" w:rsidRDefault="00000000" w:rsidRPr="00000000" w14:paraId="0000003D">
      <w:pPr>
        <w:tabs>
          <w:tab w:val="left" w:leader="none" w:pos="432"/>
        </w:tabs>
        <w:spacing w:after="120" w:line="360" w:lineRule="auto"/>
        <w:rPr>
          <w:rFonts w:ascii="Arial" w:cs="Arial" w:eastAsia="Arial" w:hAnsi="Arial"/>
          <w:color w:val="010000"/>
          <w:sz w:val="20"/>
          <w:szCs w:val="20"/>
        </w:rPr>
      </w:pPr>
      <w:r w:rsidDel="00000000" w:rsidR="00000000" w:rsidRPr="00000000">
        <w:rPr>
          <w:rtl w:val="0"/>
        </w:rPr>
      </w:r>
    </w:p>
    <w:sectPr>
      <w:pgSz w:h="16839" w:w="11907" w:orient="portrait"/>
      <w:pgMar w:bottom="1440" w:top="1440" w:left="1440" w:right="1440" w:header="0" w:footer="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Arial" w:cs="Arial" w:eastAsia="Arial" w:hAnsi="Arial"/>
        <w:b w:val="0"/>
        <w:i w:val="0"/>
        <w:sz w:val="20"/>
        <w:szCs w:val="20"/>
        <w:u w:val="none"/>
      </w:rPr>
    </w:lvl>
    <w:lvl w:ilvl="1">
      <w:start w:val="1"/>
      <w:numFmt w:val="decimal"/>
      <w:lvlText w:val="%1.%2."/>
      <w:lvlJc w:val="left"/>
      <w:pPr>
        <w:ind w:left="360" w:hanging="360"/>
      </w:pPr>
      <w:rPr>
        <w:rFonts w:ascii="Arial" w:cs="Arial" w:eastAsia="Arial" w:hAnsi="Arial"/>
        <w:b w:val="0"/>
        <w:i w:val="0"/>
        <w:sz w:val="20"/>
        <w:szCs w:val="20"/>
      </w:rPr>
    </w:lvl>
    <w:lvl w:ilvl="2">
      <w:start w:val="1"/>
      <w:numFmt w:val="decimal"/>
      <w:lvlText w:val="%1.%2.%3."/>
      <w:lvlJc w:val="left"/>
      <w:pPr>
        <w:ind w:left="720" w:hanging="720"/>
      </w:pPr>
      <w:rPr>
        <w:rFonts w:ascii="Arial" w:cs="Arial" w:eastAsia="Arial" w:hAnsi="Arial"/>
        <w:b w:val="0"/>
        <w:i w:val="0"/>
        <w:sz w:val="20"/>
        <w:szCs w:val="20"/>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
    <w:lvl w:ilvl="0">
      <w:start w:val="1"/>
      <w:numFmt w:val="bullet"/>
      <w:lvlText w:val="-"/>
      <w:lvlJc w:val="left"/>
      <w:pPr>
        <w:ind w:left="0" w:firstLine="0"/>
      </w:pPr>
      <w:rPr>
        <w:rFonts w:ascii="Arial" w:cs="Arial" w:eastAsia="Arial" w:hAnsi="Arial"/>
        <w:b w:val="0"/>
        <w:i w:val="0"/>
        <w:smallCaps w:val="0"/>
        <w:strike w:val="0"/>
        <w:color w:val="000000"/>
        <w:sz w:val="20"/>
        <w:szCs w:val="20"/>
        <w:u w:val="none"/>
        <w:shd w:fill="auto" w:val="clear"/>
        <w:vertAlign w:val="baseline"/>
      </w:rPr>
    </w:lvl>
    <w:lvl w:ilvl="1">
      <w:start w:val="0"/>
      <w:numFmt w:val="decimal"/>
      <w:lvlText w:val=""/>
      <w:lvlJc w:val="left"/>
      <w:pPr>
        <w:ind w:left="0" w:firstLine="0"/>
      </w:pPr>
      <w:rPr>
        <w:rFonts w:ascii="Arial" w:cs="Arial" w:eastAsia="Arial" w:hAnsi="Arial"/>
        <w:b w:val="0"/>
        <w:i w:val="0"/>
        <w:sz w:val="20"/>
        <w:szCs w:val="20"/>
      </w:rPr>
    </w:lvl>
    <w:lvl w:ilvl="2">
      <w:start w:val="0"/>
      <w:numFmt w:val="decimal"/>
      <w:lvlText w:val=""/>
      <w:lvlJc w:val="left"/>
      <w:pPr>
        <w:ind w:left="0" w:firstLine="0"/>
      </w:pPr>
      <w:rPr>
        <w:rFonts w:ascii="Arial" w:cs="Arial" w:eastAsia="Arial" w:hAnsi="Arial"/>
        <w:b w:val="0"/>
        <w:i w:val="0"/>
        <w:sz w:val="20"/>
        <w:szCs w:val="20"/>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bullet"/>
      <w:lvlText w:val="•"/>
      <w:lvlJc w:val="left"/>
      <w:pPr>
        <w:ind w:left="0" w:firstLine="0"/>
      </w:pPr>
      <w:rPr>
        <w:rFonts w:ascii="Arial" w:cs="Arial" w:eastAsia="Arial" w:hAnsi="Arial"/>
        <w:b w:val="0"/>
        <w:i w:val="0"/>
        <w:smallCaps w:val="0"/>
        <w:strike w:val="0"/>
        <w:color w:val="000000"/>
        <w:sz w:val="20"/>
        <w:szCs w:val="20"/>
        <w:u w:val="none"/>
        <w:shd w:fill="auto" w:val="clear"/>
        <w:vertAlign w:val="baseline"/>
      </w:rPr>
    </w:lvl>
    <w:lvl w:ilvl="1">
      <w:start w:val="0"/>
      <w:numFmt w:val="decimal"/>
      <w:lvlText w:val=""/>
      <w:lvlJc w:val="left"/>
      <w:pPr>
        <w:ind w:left="0" w:firstLine="0"/>
      </w:pPr>
      <w:rPr>
        <w:rFonts w:ascii="Arial" w:cs="Arial" w:eastAsia="Arial" w:hAnsi="Arial"/>
        <w:b w:val="0"/>
        <w:i w:val="0"/>
        <w:sz w:val="20"/>
        <w:szCs w:val="20"/>
      </w:rPr>
    </w:lvl>
    <w:lvl w:ilvl="2">
      <w:start w:val="0"/>
      <w:numFmt w:val="decimal"/>
      <w:lvlText w:val=""/>
      <w:lvlJc w:val="left"/>
      <w:pPr>
        <w:ind w:left="0" w:firstLine="0"/>
      </w:pPr>
      <w:rPr>
        <w:rFonts w:ascii="Arial" w:cs="Arial" w:eastAsia="Arial" w:hAnsi="Arial"/>
        <w:b w:val="0"/>
        <w:i w:val="0"/>
        <w:sz w:val="20"/>
        <w:szCs w:val="20"/>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decimal"/>
      <w:lvlText w:val="%1."/>
      <w:lvlJc w:val="left"/>
      <w:pPr>
        <w:ind w:left="0" w:firstLine="0"/>
      </w:pPr>
      <w:rPr>
        <w:rFonts w:ascii="Arial" w:cs="Arial" w:eastAsia="Arial" w:hAnsi="Arial"/>
        <w:b w:val="0"/>
        <w:i w:val="0"/>
        <w:smallCaps w:val="0"/>
        <w:strike w:val="0"/>
        <w:color w:val="000000"/>
        <w:sz w:val="20"/>
        <w:szCs w:val="20"/>
        <w:u w:val="none"/>
        <w:shd w:fill="auto" w:val="clear"/>
        <w:vertAlign w:val="baseline"/>
      </w:rPr>
    </w:lvl>
    <w:lvl w:ilvl="1">
      <w:start w:val="0"/>
      <w:numFmt w:val="decimal"/>
      <w:lvlText w:val=""/>
      <w:lvlJc w:val="left"/>
      <w:pPr>
        <w:ind w:left="0" w:firstLine="0"/>
      </w:pPr>
      <w:rPr>
        <w:rFonts w:ascii="Arial" w:cs="Arial" w:eastAsia="Arial" w:hAnsi="Arial"/>
        <w:b w:val="0"/>
        <w:i w:val="0"/>
        <w:sz w:val="20"/>
        <w:szCs w:val="20"/>
      </w:rPr>
    </w:lvl>
    <w:lvl w:ilvl="2">
      <w:start w:val="0"/>
      <w:numFmt w:val="decimal"/>
      <w:lvlText w:val=""/>
      <w:lvlJc w:val="left"/>
      <w:pPr>
        <w:ind w:left="0" w:firstLine="0"/>
      </w:pPr>
      <w:rPr>
        <w:rFonts w:ascii="Arial" w:cs="Arial" w:eastAsia="Arial" w:hAnsi="Arial"/>
        <w:b w:val="0"/>
        <w:i w:val="0"/>
        <w:sz w:val="20"/>
        <w:szCs w:val="20"/>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New" w:cs="Courier New" w:eastAsia="Courier New" w:hAnsi="Courier New"/>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color w:val="00000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Vnbnnidung" w:customStyle="1">
    <w:name w:val="Văn bản nội dung_"/>
    <w:basedOn w:val="DefaultParagraphFont"/>
    <w:link w:val="Vnbnnidung0"/>
    <w:rPr>
      <w:rFonts w:ascii="Times New Roman" w:cs="Times New Roman" w:eastAsia="Times New Roman" w:hAnsi="Times New Roman"/>
      <w:b w:val="0"/>
      <w:bCs w:val="0"/>
      <w:i w:val="0"/>
      <w:iCs w:val="0"/>
      <w:smallCaps w:val="0"/>
      <w:strike w:val="0"/>
      <w:sz w:val="19"/>
      <w:szCs w:val="19"/>
      <w:u w:val="none"/>
      <w:shd w:color="auto" w:fill="auto" w:val="clear"/>
    </w:rPr>
  </w:style>
  <w:style w:type="character" w:styleId="Vnbnnidung3" w:customStyle="1">
    <w:name w:val="Văn bản nội dung (3)_"/>
    <w:basedOn w:val="DefaultParagraphFont"/>
    <w:link w:val="Vnbnnidung30"/>
    <w:rPr>
      <w:rFonts w:ascii="Times New Roman" w:cs="Times New Roman" w:eastAsia="Times New Roman" w:hAnsi="Times New Roman"/>
      <w:b w:val="1"/>
      <w:bCs w:val="1"/>
      <w:i w:val="0"/>
      <w:iCs w:val="0"/>
      <w:smallCaps w:val="0"/>
      <w:strike w:val="0"/>
      <w:sz w:val="26"/>
      <w:szCs w:val="26"/>
      <w:u w:val="none"/>
      <w:shd w:color="auto" w:fill="auto" w:val="clear"/>
    </w:rPr>
  </w:style>
  <w:style w:type="character" w:styleId="Tiu1" w:customStyle="1">
    <w:name w:val="Tiêu đề #1_"/>
    <w:basedOn w:val="DefaultParagraphFont"/>
    <w:link w:val="Tiu10"/>
    <w:rPr>
      <w:rFonts w:ascii="Arial" w:cs="Arial" w:eastAsia="Arial" w:hAnsi="Arial"/>
      <w:b w:val="0"/>
      <w:bCs w:val="0"/>
      <w:i w:val="0"/>
      <w:iCs w:val="0"/>
      <w:smallCaps w:val="0"/>
      <w:strike w:val="0"/>
      <w:sz w:val="68"/>
      <w:szCs w:val="68"/>
      <w:u w:val="none"/>
      <w:shd w:color="auto" w:fill="auto" w:val="clear"/>
    </w:rPr>
  </w:style>
  <w:style w:type="character" w:styleId="Vnbnnidung2" w:customStyle="1">
    <w:name w:val="Văn bản nội dung (2)_"/>
    <w:basedOn w:val="DefaultParagraphFont"/>
    <w:link w:val="Vnbnnidung20"/>
    <w:rPr>
      <w:rFonts w:ascii="Arial" w:cs="Arial" w:eastAsia="Arial" w:hAnsi="Arial"/>
      <w:b w:val="0"/>
      <w:bCs w:val="0"/>
      <w:i w:val="0"/>
      <w:iCs w:val="0"/>
      <w:smallCaps w:val="0"/>
      <w:strike w:val="0"/>
      <w:sz w:val="15"/>
      <w:szCs w:val="15"/>
      <w:u w:val="none"/>
      <w:shd w:color="auto" w:fill="auto" w:val="clear"/>
    </w:rPr>
  </w:style>
  <w:style w:type="paragraph" w:styleId="Vnbnnidung0" w:customStyle="1">
    <w:name w:val="Văn bản nội dung"/>
    <w:basedOn w:val="Normal"/>
    <w:link w:val="Vnbnnidung"/>
    <w:pPr>
      <w:spacing w:line="293" w:lineRule="auto"/>
    </w:pPr>
    <w:rPr>
      <w:rFonts w:ascii="Times New Roman" w:cs="Times New Roman" w:eastAsia="Times New Roman" w:hAnsi="Times New Roman"/>
      <w:sz w:val="19"/>
      <w:szCs w:val="19"/>
    </w:rPr>
  </w:style>
  <w:style w:type="paragraph" w:styleId="Vnbnnidung30" w:customStyle="1">
    <w:name w:val="Văn bản nội dung (3)"/>
    <w:basedOn w:val="Normal"/>
    <w:link w:val="Vnbnnidung3"/>
    <w:pPr>
      <w:jc w:val="center"/>
    </w:pPr>
    <w:rPr>
      <w:rFonts w:ascii="Times New Roman" w:cs="Times New Roman" w:eastAsia="Times New Roman" w:hAnsi="Times New Roman"/>
      <w:b w:val="1"/>
      <w:bCs w:val="1"/>
      <w:sz w:val="26"/>
      <w:szCs w:val="26"/>
    </w:rPr>
  </w:style>
  <w:style w:type="paragraph" w:styleId="Tiu10" w:customStyle="1">
    <w:name w:val="Tiêu đề #1"/>
    <w:basedOn w:val="Normal"/>
    <w:link w:val="Tiu1"/>
    <w:pPr>
      <w:outlineLvl w:val="0"/>
    </w:pPr>
    <w:rPr>
      <w:rFonts w:ascii="Arial" w:cs="Arial" w:eastAsia="Arial" w:hAnsi="Arial"/>
      <w:sz w:val="68"/>
      <w:szCs w:val="68"/>
    </w:rPr>
  </w:style>
  <w:style w:type="paragraph" w:styleId="Vnbnnidung20" w:customStyle="1">
    <w:name w:val="Văn bản nội dung (2)"/>
    <w:basedOn w:val="Normal"/>
    <w:link w:val="Vnbnnidung2"/>
    <w:rPr>
      <w:rFonts w:ascii="Arial" w:cs="Arial" w:eastAsia="Arial" w:hAnsi="Arial"/>
      <w:sz w:val="15"/>
      <w:szCs w:val="15"/>
    </w:rPr>
  </w:style>
  <w:style w:type="character" w:styleId="Khc" w:customStyle="1">
    <w:name w:val="Khác_"/>
    <w:basedOn w:val="DefaultParagraphFont"/>
    <w:link w:val="Khc0"/>
    <w:rsid w:val="0047700D"/>
    <w:rPr>
      <w:rFonts w:ascii="Times New Roman" w:cs="Times New Roman" w:eastAsia="Times New Roman" w:hAnsi="Times New Roman"/>
      <w:sz w:val="22"/>
      <w:szCs w:val="22"/>
    </w:rPr>
  </w:style>
  <w:style w:type="paragraph" w:styleId="Khc0" w:customStyle="1">
    <w:name w:val="Khác"/>
    <w:basedOn w:val="Normal"/>
    <w:link w:val="Khc"/>
    <w:rsid w:val="0047700D"/>
    <w:rPr>
      <w:rFonts w:ascii="Times New Roman" w:cs="Times New Roman" w:eastAsia="Times New Roman" w:hAnsi="Times New Roman"/>
      <w:color w:val="auto"/>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uDZ/ohYm6qLhg7BRYAEmWTn0JQ==">CgMxLjA4AHIhMWNZUmVBaTZ5QnRTUFExQlNrcExYNkRmakdOcFRkTEk2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2024-05-07T06:57:00Z</dcterms:created>
</cp:coreProperties>
</file>