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DA1F" w14:textId="77777777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3A47">
        <w:rPr>
          <w:rFonts w:ascii="Arial" w:hAnsi="Arial" w:cs="Arial"/>
          <w:b/>
          <w:color w:val="010000"/>
          <w:sz w:val="20"/>
        </w:rPr>
        <w:t xml:space="preserve">VTZ: Board Resolution </w:t>
      </w:r>
    </w:p>
    <w:p w14:paraId="403FBC91" w14:textId="77777777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On May 6, 2024, Viet Thanh Plastic Trading </w:t>
      </w:r>
      <w:proofErr w:type="gramStart"/>
      <w:r w:rsidRPr="009C3A47">
        <w:rPr>
          <w:rFonts w:ascii="Arial" w:hAnsi="Arial" w:cs="Arial"/>
          <w:color w:val="010000"/>
          <w:sz w:val="20"/>
        </w:rPr>
        <w:t>And</w:t>
      </w:r>
      <w:proofErr w:type="gramEnd"/>
      <w:r w:rsidRPr="009C3A47">
        <w:rPr>
          <w:rFonts w:ascii="Arial" w:hAnsi="Arial" w:cs="Arial"/>
          <w:color w:val="010000"/>
          <w:sz w:val="20"/>
        </w:rPr>
        <w:t xml:space="preserve"> Manufacturing Joint Stock Company announced Resolution No. 06/2024/VTZ/NQ-HDQT on approving the implementation of the private placement plan as follows:</w:t>
      </w:r>
    </w:p>
    <w:p w14:paraId="6831D054" w14:textId="79ADB6F5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C3A47">
        <w:rPr>
          <w:rFonts w:ascii="Arial" w:hAnsi="Arial" w:cs="Arial"/>
          <w:color w:val="010000"/>
          <w:sz w:val="20"/>
        </w:rPr>
        <w:t xml:space="preserve">Article 1: Approve the implementation of the private placement plan to increase the Company's charter capital according to Annual General Mandate 2024 No. 01/2024/VTZ/NQ-DHDCDTN dated April 16, 2024 of the General Meeting of Shareholders. The </w:t>
      </w:r>
      <w:r w:rsidR="005E5DEE" w:rsidRPr="009C3A47">
        <w:rPr>
          <w:rFonts w:ascii="Arial" w:hAnsi="Arial" w:cs="Arial"/>
          <w:color w:val="010000"/>
          <w:sz w:val="20"/>
        </w:rPr>
        <w:t>detailed</w:t>
      </w:r>
      <w:r w:rsidRPr="009C3A47">
        <w:rPr>
          <w:rFonts w:ascii="Arial" w:hAnsi="Arial" w:cs="Arial"/>
          <w:color w:val="010000"/>
          <w:sz w:val="20"/>
        </w:rPr>
        <w:t xml:space="preserve"> private placement </w:t>
      </w:r>
      <w:r w:rsidR="005E5DEE" w:rsidRPr="009C3A47">
        <w:rPr>
          <w:rFonts w:ascii="Arial" w:hAnsi="Arial" w:cs="Arial"/>
          <w:color w:val="010000"/>
          <w:sz w:val="20"/>
        </w:rPr>
        <w:t xml:space="preserve">plan </w:t>
      </w:r>
      <w:r w:rsidRPr="009C3A47">
        <w:rPr>
          <w:rFonts w:ascii="Arial" w:hAnsi="Arial" w:cs="Arial"/>
          <w:color w:val="010000"/>
          <w:sz w:val="20"/>
        </w:rPr>
        <w:t>is as follows:</w:t>
      </w:r>
    </w:p>
    <w:p w14:paraId="5A12158F" w14:textId="7035823E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Name of </w:t>
      </w:r>
      <w:r w:rsidR="005E5DEE" w:rsidRPr="009C3A47">
        <w:rPr>
          <w:rFonts w:ascii="Arial" w:hAnsi="Arial" w:cs="Arial"/>
          <w:color w:val="010000"/>
          <w:sz w:val="20"/>
        </w:rPr>
        <w:t>Issuer</w:t>
      </w:r>
      <w:r w:rsidRPr="009C3A47">
        <w:rPr>
          <w:rFonts w:ascii="Arial" w:hAnsi="Arial" w:cs="Arial"/>
          <w:color w:val="010000"/>
          <w:sz w:val="20"/>
        </w:rPr>
        <w:t xml:space="preserve">: Viet Thanh Plastic Trading </w:t>
      </w:r>
      <w:proofErr w:type="gramStart"/>
      <w:r w:rsidRPr="009C3A47">
        <w:rPr>
          <w:rFonts w:ascii="Arial" w:hAnsi="Arial" w:cs="Arial"/>
          <w:color w:val="010000"/>
          <w:sz w:val="20"/>
        </w:rPr>
        <w:t>And</w:t>
      </w:r>
      <w:proofErr w:type="gramEnd"/>
      <w:r w:rsidRPr="009C3A47">
        <w:rPr>
          <w:rFonts w:ascii="Arial" w:hAnsi="Arial" w:cs="Arial"/>
          <w:color w:val="010000"/>
          <w:sz w:val="20"/>
        </w:rPr>
        <w:t xml:space="preserve"> Manufacturing Joint Stock Company</w:t>
      </w:r>
    </w:p>
    <w:p w14:paraId="02D1F023" w14:textId="4FD27511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Share name: Share</w:t>
      </w:r>
      <w:r w:rsidR="005E5DEE" w:rsidRPr="009C3A47">
        <w:rPr>
          <w:rFonts w:ascii="Arial" w:hAnsi="Arial" w:cs="Arial"/>
          <w:color w:val="010000"/>
          <w:sz w:val="20"/>
        </w:rPr>
        <w:t>s</w:t>
      </w:r>
      <w:r w:rsidRPr="009C3A47">
        <w:rPr>
          <w:rFonts w:ascii="Arial" w:hAnsi="Arial" w:cs="Arial"/>
          <w:color w:val="010000"/>
          <w:sz w:val="20"/>
        </w:rPr>
        <w:t xml:space="preserve"> of Viet Thanh Plastic Trading </w:t>
      </w:r>
      <w:proofErr w:type="gramStart"/>
      <w:r w:rsidRPr="009C3A47">
        <w:rPr>
          <w:rFonts w:ascii="Arial" w:hAnsi="Arial" w:cs="Arial"/>
          <w:color w:val="010000"/>
          <w:sz w:val="20"/>
        </w:rPr>
        <w:t>And</w:t>
      </w:r>
      <w:proofErr w:type="gramEnd"/>
      <w:r w:rsidRPr="009C3A47">
        <w:rPr>
          <w:rFonts w:ascii="Arial" w:hAnsi="Arial" w:cs="Arial"/>
          <w:color w:val="010000"/>
          <w:sz w:val="20"/>
        </w:rPr>
        <w:t xml:space="preserve"> Manufacturing Joint Stock Company</w:t>
      </w:r>
    </w:p>
    <w:p w14:paraId="4AF61261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Securities code: VTZ</w:t>
      </w:r>
    </w:p>
    <w:p w14:paraId="5D2BFEC3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Share type: Common share</w:t>
      </w:r>
    </w:p>
    <w:p w14:paraId="7BD9626B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Par value: VND 10,000/share</w:t>
      </w:r>
    </w:p>
    <w:p w14:paraId="5DA18C12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Number of shares expected to be offered: 28,000,000 shares</w:t>
      </w:r>
    </w:p>
    <w:p w14:paraId="19876948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Total expected offering value at par value: VND 280,000,000,000 </w:t>
      </w:r>
    </w:p>
    <w:p w14:paraId="7ADEA15B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Offering purpose: Pay off bank loans, reduce dependence on loan capital, minimize financial risks thanks to long-term capital, strengthen financial potential, create conditions for expanding business development.</w:t>
      </w:r>
    </w:p>
    <w:p w14:paraId="49E114B9" w14:textId="6191E7B0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Offering form: </w:t>
      </w:r>
      <w:r w:rsidR="005E5DEE" w:rsidRPr="009C3A47">
        <w:rPr>
          <w:rFonts w:ascii="Arial" w:hAnsi="Arial" w:cs="Arial"/>
          <w:color w:val="010000"/>
          <w:sz w:val="20"/>
        </w:rPr>
        <w:t>Private placement</w:t>
      </w:r>
      <w:r w:rsidRPr="009C3A47">
        <w:rPr>
          <w:rFonts w:ascii="Arial" w:hAnsi="Arial" w:cs="Arial"/>
          <w:color w:val="010000"/>
          <w:sz w:val="20"/>
        </w:rPr>
        <w:t xml:space="preserve"> to professional securities investors</w:t>
      </w:r>
    </w:p>
    <w:p w14:paraId="5AE4D000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Offering price: VND 10,000/share</w:t>
      </w:r>
    </w:p>
    <w:p w14:paraId="170C8531" w14:textId="7AF62A0D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Eligible buyers: Professional domestic securities </w:t>
      </w:r>
      <w:r w:rsidR="005E5DEE" w:rsidRPr="009C3A47">
        <w:rPr>
          <w:rFonts w:ascii="Arial" w:hAnsi="Arial" w:cs="Arial"/>
          <w:color w:val="010000"/>
          <w:sz w:val="20"/>
        </w:rPr>
        <w:t>investors</w:t>
      </w:r>
      <w:r w:rsidRPr="009C3A47">
        <w:rPr>
          <w:rFonts w:ascii="Arial" w:hAnsi="Arial" w:cs="Arial"/>
          <w:color w:val="010000"/>
          <w:sz w:val="20"/>
        </w:rPr>
        <w:t>.</w:t>
      </w:r>
    </w:p>
    <w:p w14:paraId="565E5F93" w14:textId="1934F8F6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Criteria for selecting investors to buy shares </w:t>
      </w:r>
      <w:r w:rsidR="005E5DEE" w:rsidRPr="009C3A47">
        <w:rPr>
          <w:rFonts w:ascii="Arial" w:hAnsi="Arial" w:cs="Arial"/>
          <w:color w:val="010000"/>
          <w:sz w:val="20"/>
        </w:rPr>
        <w:t>of the</w:t>
      </w:r>
      <w:r w:rsidRPr="009C3A47">
        <w:rPr>
          <w:rFonts w:ascii="Arial" w:hAnsi="Arial" w:cs="Arial"/>
          <w:color w:val="010000"/>
          <w:sz w:val="20"/>
        </w:rPr>
        <w:t xml:space="preserve"> private placement:</w:t>
      </w:r>
    </w:p>
    <w:p w14:paraId="7D855BC5" w14:textId="77777777" w:rsidR="00ED1DDD" w:rsidRPr="009C3A47" w:rsidRDefault="00393BE1" w:rsidP="0071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Professional securities investors according to the law are individuals/ domestic organizations that are willing to cooperate, have financial capacity, and ensure the full implementation of payment obligations for the number of shares registered to purchase;</w:t>
      </w:r>
    </w:p>
    <w:p w14:paraId="001E9ED0" w14:textId="09915E77" w:rsidR="00ED1DDD" w:rsidRPr="009C3A47" w:rsidRDefault="00393BE1" w:rsidP="0071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Individuals being members of the Board of Directors, members of the Supervisory Board, members of the </w:t>
      </w:r>
      <w:r w:rsidR="00715381">
        <w:rPr>
          <w:rFonts w:ascii="Arial" w:hAnsi="Arial" w:cs="Arial"/>
          <w:color w:val="010000"/>
          <w:sz w:val="20"/>
        </w:rPr>
        <w:t>Executive Board</w:t>
      </w:r>
      <w:r w:rsidRPr="009C3A47">
        <w:rPr>
          <w:rFonts w:ascii="Arial" w:hAnsi="Arial" w:cs="Arial"/>
          <w:color w:val="010000"/>
          <w:sz w:val="20"/>
        </w:rPr>
        <w:t xml:space="preserve"> and key officers of the Company with financial potential and the ability to contribute capital as soon as they register to buy shares are qualified as professional securities investors. </w:t>
      </w:r>
    </w:p>
    <w:p w14:paraId="31BF49FC" w14:textId="77777777" w:rsidR="00ED1DDD" w:rsidRPr="009C3A47" w:rsidRDefault="00393BE1" w:rsidP="0071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The total number of investors offered in the private placement is guaranteed not to exceed 10 professional securities investors.</w:t>
      </w:r>
    </w:p>
    <w:p w14:paraId="128619C6" w14:textId="77777777" w:rsidR="00ED1DDD" w:rsidRPr="009C3A47" w:rsidRDefault="00393BE1" w:rsidP="00715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List of investors expected to participate in the private placement</w:t>
      </w:r>
    </w:p>
    <w:tbl>
      <w:tblPr>
        <w:tblStyle w:val="a"/>
        <w:tblW w:w="5152" w:type="pct"/>
        <w:tblInd w:w="-275" w:type="dxa"/>
        <w:tblLook w:val="0000" w:firstRow="0" w:lastRow="0" w:firstColumn="0" w:lastColumn="0" w:noHBand="0" w:noVBand="0"/>
      </w:tblPr>
      <w:tblGrid>
        <w:gridCol w:w="359"/>
        <w:gridCol w:w="1070"/>
        <w:gridCol w:w="1355"/>
        <w:gridCol w:w="1888"/>
        <w:gridCol w:w="1754"/>
        <w:gridCol w:w="911"/>
        <w:gridCol w:w="1021"/>
        <w:gridCol w:w="933"/>
      </w:tblGrid>
      <w:tr w:rsidR="00ED1DDD" w:rsidRPr="009C3A47" w14:paraId="3F428E1D" w14:textId="77777777" w:rsidTr="00715381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77EE5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BF958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9A339" w14:textId="2FA07B69" w:rsidR="00ED1DDD" w:rsidRPr="009C3A47" w:rsidRDefault="005E5DEE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Number of</w:t>
            </w:r>
          </w:p>
          <w:p w14:paraId="7C879E17" w14:textId="56D2F11B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ID card/Citizen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identification card/passport or Business </w:t>
            </w:r>
            <w:r w:rsidR="005E5DEE" w:rsidRPr="009C3A47">
              <w:rPr>
                <w:rFonts w:ascii="Arial" w:hAnsi="Arial" w:cs="Arial"/>
                <w:color w:val="010000"/>
                <w:sz w:val="20"/>
              </w:rPr>
              <w:t>Registration Certificate</w:t>
            </w: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8D722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Subjects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21A14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Number of shares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owned before the offering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4C4D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Number of shares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expected to be distributed (shares)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5127A" w14:textId="558DE74D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Expected ownership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rate</w:t>
            </w:r>
            <w:r w:rsidR="005E5DEE" w:rsidRPr="009C3A47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9C3A47">
              <w:rPr>
                <w:rFonts w:ascii="Arial" w:hAnsi="Arial" w:cs="Arial"/>
                <w:color w:val="010000"/>
                <w:sz w:val="20"/>
              </w:rPr>
              <w:t>after the offering (%)</w:t>
            </w:r>
          </w:p>
        </w:tc>
      </w:tr>
      <w:tr w:rsidR="00ED1DDD" w:rsidRPr="009C3A47" w14:paraId="221C720F" w14:textId="77777777" w:rsidTr="00715381"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2C66C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31FE9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BFF17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60034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Strategic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Investor/Professional Investor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2A57A" w14:textId="73CD363B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Foreign </w:t>
            </w: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investors/Economic organizations in which foreign investors </w:t>
            </w:r>
            <w:r w:rsidR="005E5DEE" w:rsidRPr="009C3A47">
              <w:rPr>
                <w:rFonts w:ascii="Arial" w:hAnsi="Arial" w:cs="Arial"/>
                <w:color w:val="010000"/>
                <w:sz w:val="20"/>
              </w:rPr>
              <w:t>own</w:t>
            </w:r>
            <w:r w:rsidRPr="009C3A47">
              <w:rPr>
                <w:rFonts w:ascii="Arial" w:hAnsi="Arial" w:cs="Arial"/>
                <w:color w:val="010000"/>
                <w:sz w:val="20"/>
              </w:rPr>
              <w:t xml:space="preserve"> more than 50% of charter capital/Domestic investors</w:t>
            </w: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32A50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B159B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8AD48" w14:textId="77777777" w:rsidR="00ED1DDD" w:rsidRPr="009C3A47" w:rsidRDefault="00ED1DDD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D1DDD" w:rsidRPr="009C3A47" w14:paraId="42E5ADAA" w14:textId="77777777" w:rsidTr="00715381">
        <w:tc>
          <w:tcPr>
            <w:tcW w:w="1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06731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3900C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Nguyen Van Tuan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A26FA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082073000450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62029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C887B" w14:textId="3FEF49DE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AA60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4,815,235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120F4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A290C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20.87%</w:t>
            </w:r>
          </w:p>
        </w:tc>
      </w:tr>
      <w:tr w:rsidR="00ED1DDD" w:rsidRPr="009C3A47" w14:paraId="0B06D864" w14:textId="77777777" w:rsidTr="00715381">
        <w:tc>
          <w:tcPr>
            <w:tcW w:w="1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439B7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1E8E0" w14:textId="27F1D029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Phan Van</w:t>
            </w:r>
            <w:r w:rsidR="005E5DEE" w:rsidRPr="009C3A4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9C3A47">
              <w:rPr>
                <w:rFonts w:ascii="Arial" w:hAnsi="Arial" w:cs="Arial"/>
                <w:color w:val="010000"/>
                <w:sz w:val="20"/>
              </w:rPr>
              <w:t>Quan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8475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082079022074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9675B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EC24A" w14:textId="59F19BC5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03526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6,430,000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3C958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02D4E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23.14%</w:t>
            </w:r>
          </w:p>
        </w:tc>
      </w:tr>
      <w:tr w:rsidR="00ED1DDD" w:rsidRPr="009C3A47" w14:paraId="2C0DAC6E" w14:textId="77777777" w:rsidTr="00715381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819A5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C93F3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9C3A47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9C3A4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C3A47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4B647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052087000202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1BC4D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1AF36" w14:textId="24F1B168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B9144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9,258,735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0D80F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DA91D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24.31%</w:t>
            </w:r>
          </w:p>
        </w:tc>
      </w:tr>
    </w:tbl>
    <w:p w14:paraId="239CCB35" w14:textId="234313E0" w:rsidR="00ED1DDD" w:rsidRPr="009C3A47" w:rsidRDefault="005E5DEE" w:rsidP="002159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Relations</w:t>
      </w:r>
      <w:r w:rsidR="00393BE1" w:rsidRPr="009C3A47">
        <w:rPr>
          <w:rFonts w:ascii="Arial" w:hAnsi="Arial" w:cs="Arial"/>
          <w:color w:val="010000"/>
          <w:sz w:val="20"/>
        </w:rPr>
        <w:t xml:space="preserve"> of the offered subjects with offering organizations, members of the Board of Directors, Supervisors and </w:t>
      </w:r>
      <w:r w:rsidRPr="009C3A47">
        <w:rPr>
          <w:rFonts w:ascii="Arial" w:hAnsi="Arial" w:cs="Arial"/>
          <w:color w:val="010000"/>
          <w:sz w:val="20"/>
        </w:rPr>
        <w:t xml:space="preserve">the </w:t>
      </w:r>
      <w:r w:rsidR="00393BE1" w:rsidRPr="009C3A47">
        <w:rPr>
          <w:rFonts w:ascii="Arial" w:hAnsi="Arial" w:cs="Arial"/>
          <w:color w:val="010000"/>
          <w:sz w:val="20"/>
        </w:rPr>
        <w:t>Board of Management: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0"/>
        <w:gridCol w:w="2011"/>
        <w:gridCol w:w="1856"/>
        <w:gridCol w:w="4510"/>
      </w:tblGrid>
      <w:tr w:rsidR="00ED1DDD" w:rsidRPr="009C3A47" w14:paraId="42CBBC19" w14:textId="77777777" w:rsidTr="0021590D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8286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83974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0EAC2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CMND Code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B0997" w14:textId="6873F704" w:rsidR="00ED1DDD" w:rsidRPr="009C3A47" w:rsidRDefault="00393BE1" w:rsidP="005E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Relations with </w:t>
            </w:r>
            <w:r w:rsidR="005E5DEE" w:rsidRPr="009C3A47">
              <w:rPr>
                <w:rFonts w:ascii="Arial" w:hAnsi="Arial" w:cs="Arial"/>
                <w:color w:val="010000"/>
                <w:sz w:val="20"/>
              </w:rPr>
              <w:t>the Issuer</w:t>
            </w:r>
            <w:r w:rsidRPr="009C3A47">
              <w:rPr>
                <w:rFonts w:ascii="Arial" w:hAnsi="Arial" w:cs="Arial"/>
                <w:color w:val="010000"/>
                <w:sz w:val="20"/>
              </w:rPr>
              <w:t xml:space="preserve">, members of the Board of Directors, Supervisors and </w:t>
            </w:r>
            <w:r w:rsidR="005E5DEE" w:rsidRPr="009C3A4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C3A47">
              <w:rPr>
                <w:rFonts w:ascii="Arial" w:hAnsi="Arial" w:cs="Arial"/>
                <w:color w:val="010000"/>
                <w:sz w:val="20"/>
              </w:rPr>
              <w:t>Board of Management</w:t>
            </w:r>
          </w:p>
        </w:tc>
      </w:tr>
      <w:tr w:rsidR="00ED1DDD" w:rsidRPr="009C3A47" w14:paraId="3E929949" w14:textId="77777777" w:rsidTr="0021590D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BE78C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E9EE2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Nguyen Van Tuan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20059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082073000450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40B4E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ED1DDD" w:rsidRPr="009C3A47" w14:paraId="5F3D107E" w14:textId="77777777" w:rsidTr="0021590D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F5938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E68B2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Phan Van Quan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36D12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082079022074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47D9" w14:textId="0C4C5465" w:rsidR="00ED1DDD" w:rsidRPr="009C3A47" w:rsidRDefault="00393BE1" w:rsidP="0071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Vice Chair of Board of Directors-cum-</w:t>
            </w:r>
            <w:r w:rsidR="00715381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ED1DDD" w:rsidRPr="009C3A47" w14:paraId="6C4608AC" w14:textId="77777777" w:rsidTr="0021590D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EA89C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745A8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9C3A47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9C3A4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C3A47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827D5" w14:textId="77777777" w:rsidR="00ED1DDD" w:rsidRPr="009C3A47" w:rsidRDefault="00393BE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3A47">
              <w:rPr>
                <w:rFonts w:ascii="Arial" w:hAnsi="Arial" w:cs="Arial"/>
                <w:color w:val="010000"/>
                <w:sz w:val="20"/>
              </w:rPr>
              <w:t>052087000202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CDC22" w14:textId="3BE635AD" w:rsidR="00ED1DDD" w:rsidRPr="009C3A47" w:rsidRDefault="00715381" w:rsidP="0021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</w:t>
            </w:r>
            <w:r w:rsidR="00393BE1" w:rsidRPr="009C3A47">
              <w:rPr>
                <w:rFonts w:ascii="Arial" w:hAnsi="Arial" w:cs="Arial"/>
                <w:color w:val="010000"/>
                <w:sz w:val="20"/>
              </w:rPr>
              <w:t xml:space="preserve"> shareholder</w:t>
            </w:r>
          </w:p>
        </w:tc>
      </w:tr>
    </w:tbl>
    <w:p w14:paraId="55C7A64B" w14:textId="339E9DBC" w:rsidR="00ED1DDD" w:rsidRPr="009C3A47" w:rsidRDefault="00393BE1" w:rsidP="0071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Expected offering time: Q3, Q4/2024 after the Stat</w:t>
      </w:r>
      <w:r w:rsidR="005E5DEE" w:rsidRPr="009C3A47">
        <w:rPr>
          <w:rFonts w:ascii="Arial" w:hAnsi="Arial" w:cs="Arial"/>
          <w:color w:val="010000"/>
          <w:sz w:val="20"/>
        </w:rPr>
        <w:t>e Securities Commission approves</w:t>
      </w:r>
      <w:r w:rsidRPr="009C3A47">
        <w:rPr>
          <w:rFonts w:ascii="Arial" w:hAnsi="Arial" w:cs="Arial"/>
          <w:color w:val="010000"/>
          <w:sz w:val="20"/>
        </w:rPr>
        <w:t xml:space="preserve"> the private placement registration dossier.</w:t>
      </w:r>
    </w:p>
    <w:p w14:paraId="6743762B" w14:textId="268ADCF7" w:rsidR="00ED1DDD" w:rsidRPr="009C3A47" w:rsidRDefault="00393BE1" w:rsidP="0071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Transfer restriction: Shares </w:t>
      </w:r>
      <w:r w:rsidR="005E5DEE" w:rsidRPr="009C3A47">
        <w:rPr>
          <w:rFonts w:ascii="Arial" w:hAnsi="Arial" w:cs="Arial"/>
          <w:color w:val="010000"/>
          <w:sz w:val="20"/>
        </w:rPr>
        <w:t xml:space="preserve">in the private </w:t>
      </w:r>
      <w:proofErr w:type="spellStart"/>
      <w:r w:rsidR="005E5DEE" w:rsidRPr="009C3A47">
        <w:rPr>
          <w:rFonts w:ascii="Arial" w:hAnsi="Arial" w:cs="Arial"/>
          <w:color w:val="010000"/>
          <w:sz w:val="20"/>
        </w:rPr>
        <w:t>plamcement</w:t>
      </w:r>
      <w:proofErr w:type="spellEnd"/>
      <w:r w:rsidRPr="009C3A47">
        <w:rPr>
          <w:rFonts w:ascii="Arial" w:hAnsi="Arial" w:cs="Arial"/>
          <w:color w:val="010000"/>
          <w:sz w:val="20"/>
        </w:rPr>
        <w:t xml:space="preserve"> to professional investors are restricted from transfer for 01 </w:t>
      </w:r>
      <w:proofErr w:type="gramStart"/>
      <w:r w:rsidRPr="009C3A47">
        <w:rPr>
          <w:rFonts w:ascii="Arial" w:hAnsi="Arial" w:cs="Arial"/>
          <w:color w:val="010000"/>
          <w:sz w:val="20"/>
        </w:rPr>
        <w:t>year</w:t>
      </w:r>
      <w:proofErr w:type="gramEnd"/>
      <w:r w:rsidRPr="009C3A47">
        <w:rPr>
          <w:rFonts w:ascii="Arial" w:hAnsi="Arial" w:cs="Arial"/>
          <w:color w:val="010000"/>
          <w:sz w:val="20"/>
        </w:rPr>
        <w:t xml:space="preserve"> from the </w:t>
      </w:r>
      <w:r w:rsidR="005E5DEE" w:rsidRPr="009C3A47">
        <w:rPr>
          <w:rFonts w:ascii="Arial" w:hAnsi="Arial" w:cs="Arial"/>
          <w:color w:val="010000"/>
          <w:sz w:val="20"/>
        </w:rPr>
        <w:t xml:space="preserve">end </w:t>
      </w:r>
      <w:r w:rsidRPr="009C3A47">
        <w:rPr>
          <w:rFonts w:ascii="Arial" w:hAnsi="Arial" w:cs="Arial"/>
          <w:color w:val="010000"/>
          <w:sz w:val="20"/>
        </w:rPr>
        <w:t>of the offering.</w:t>
      </w:r>
    </w:p>
    <w:p w14:paraId="2219312E" w14:textId="77777777" w:rsidR="00ED1DDD" w:rsidRPr="009C3A47" w:rsidRDefault="00393BE1" w:rsidP="0071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Plan to handle the remaining undistributed shares (if any):</w:t>
      </w:r>
    </w:p>
    <w:p w14:paraId="3B807838" w14:textId="029A20A7" w:rsidR="00ED1DDD" w:rsidRPr="009C3A47" w:rsidRDefault="00393BE1" w:rsidP="0071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The shares are </w:t>
      </w:r>
      <w:r w:rsidR="005E5DEE" w:rsidRPr="009C3A47">
        <w:rPr>
          <w:rFonts w:ascii="Arial" w:hAnsi="Arial" w:cs="Arial"/>
          <w:color w:val="010000"/>
          <w:sz w:val="20"/>
        </w:rPr>
        <w:t>undistributed because</w:t>
      </w:r>
      <w:r w:rsidRPr="009C3A47">
        <w:rPr>
          <w:rFonts w:ascii="Arial" w:hAnsi="Arial" w:cs="Arial"/>
          <w:color w:val="010000"/>
          <w:sz w:val="20"/>
        </w:rPr>
        <w:t xml:space="preserve"> investors who are allowed to participa</w:t>
      </w:r>
      <w:r w:rsidR="005E5DEE" w:rsidRPr="009C3A47">
        <w:rPr>
          <w:rFonts w:ascii="Arial" w:hAnsi="Arial" w:cs="Arial"/>
          <w:color w:val="010000"/>
          <w:sz w:val="20"/>
        </w:rPr>
        <w:t>te in purchasing shares refuse</w:t>
      </w:r>
      <w:r w:rsidRPr="009C3A47">
        <w:rPr>
          <w:rFonts w:ascii="Arial" w:hAnsi="Arial" w:cs="Arial"/>
          <w:color w:val="010000"/>
          <w:sz w:val="20"/>
        </w:rPr>
        <w:t xml:space="preserve"> the right to buy, the General Meeting of Shareholders authorizes the Board of Directors to continue offering to eligible entities (belonging to the</w:t>
      </w:r>
      <w:r w:rsidR="00AC4FEB" w:rsidRPr="009C3A47">
        <w:rPr>
          <w:rFonts w:ascii="Arial" w:hAnsi="Arial" w:cs="Arial"/>
          <w:color w:val="010000"/>
          <w:sz w:val="20"/>
        </w:rPr>
        <w:t xml:space="preserve"> subject of the issuance</w:t>
      </w:r>
      <w:r w:rsidRPr="009C3A47">
        <w:rPr>
          <w:rFonts w:ascii="Arial" w:hAnsi="Arial" w:cs="Arial"/>
          <w:color w:val="010000"/>
          <w:sz w:val="20"/>
        </w:rPr>
        <w:t xml:space="preserve"> and meeting the investor selection criteria in this </w:t>
      </w:r>
      <w:r w:rsidR="00AC4FEB" w:rsidRPr="009C3A47">
        <w:rPr>
          <w:rFonts w:ascii="Arial" w:hAnsi="Arial" w:cs="Arial"/>
          <w:color w:val="010000"/>
          <w:sz w:val="20"/>
        </w:rPr>
        <w:t>issuance plan at an issuance</w:t>
      </w:r>
      <w:r w:rsidRPr="009C3A47">
        <w:rPr>
          <w:rFonts w:ascii="Arial" w:hAnsi="Arial" w:cs="Arial"/>
          <w:color w:val="010000"/>
          <w:sz w:val="20"/>
        </w:rPr>
        <w:t xml:space="preserve"> price not lower than the initial issue price).</w:t>
      </w:r>
    </w:p>
    <w:p w14:paraId="4A90D343" w14:textId="1253BD63" w:rsidR="00ED1DDD" w:rsidRPr="009C3A47" w:rsidRDefault="00AC4FEB" w:rsidP="0071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If the shares continued to be offered are not successful, the Board of Directors will cancel the undistributed shares and decide</w:t>
      </w:r>
      <w:r w:rsidR="00393BE1" w:rsidRPr="009C3A47">
        <w:rPr>
          <w:rFonts w:ascii="Arial" w:hAnsi="Arial" w:cs="Arial"/>
          <w:color w:val="010000"/>
          <w:sz w:val="20"/>
        </w:rPr>
        <w:t xml:space="preserve"> to end the issuance. </w:t>
      </w:r>
    </w:p>
    <w:p w14:paraId="31057FCA" w14:textId="5674B4B5" w:rsidR="00ED1DDD" w:rsidRPr="009C3A47" w:rsidRDefault="00393BE1" w:rsidP="0071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89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Registration for depository and registration for additional listing of shares: The Company will </w:t>
      </w:r>
      <w:r w:rsidRPr="009C3A47">
        <w:rPr>
          <w:rFonts w:ascii="Arial" w:hAnsi="Arial" w:cs="Arial"/>
          <w:color w:val="010000"/>
          <w:sz w:val="20"/>
        </w:rPr>
        <w:lastRenderedPageBreak/>
        <w:t>register the additional shares for offering at the Securities Depository Center and register for additional listing at the Hanoi Stock Exchange after completing the private placement accord</w:t>
      </w:r>
      <w:r w:rsidR="00AC4FEB" w:rsidRPr="009C3A47">
        <w:rPr>
          <w:rFonts w:ascii="Arial" w:hAnsi="Arial" w:cs="Arial"/>
          <w:color w:val="010000"/>
          <w:sz w:val="20"/>
        </w:rPr>
        <w:t>ing to the legal regulations.</w:t>
      </w:r>
    </w:p>
    <w:p w14:paraId="3B04490A" w14:textId="3D6385B9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tabs>
          <w:tab w:val="left" w:pos="89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Article 2: Approve the plan to ensure the share offering meets the foreign ownership rate in the private placement </w:t>
      </w:r>
      <w:r w:rsidR="00AC4FEB" w:rsidRPr="009C3A47">
        <w:rPr>
          <w:rFonts w:ascii="Arial" w:hAnsi="Arial" w:cs="Arial"/>
          <w:color w:val="010000"/>
          <w:sz w:val="20"/>
        </w:rPr>
        <w:t xml:space="preserve">in 2024 </w:t>
      </w:r>
      <w:r w:rsidRPr="009C3A47">
        <w:rPr>
          <w:rFonts w:ascii="Arial" w:hAnsi="Arial" w:cs="Arial"/>
          <w:color w:val="010000"/>
          <w:sz w:val="20"/>
        </w:rPr>
        <w:t xml:space="preserve">as follows: </w:t>
      </w:r>
    </w:p>
    <w:p w14:paraId="2E72EA9D" w14:textId="4AFB6BA4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The maximum </w:t>
      </w:r>
      <w:r w:rsidR="00AC4FEB" w:rsidRPr="009C3A47">
        <w:rPr>
          <w:rFonts w:ascii="Arial" w:hAnsi="Arial" w:cs="Arial"/>
          <w:color w:val="010000"/>
          <w:sz w:val="20"/>
        </w:rPr>
        <w:t xml:space="preserve">foreign </w:t>
      </w:r>
      <w:r w:rsidRPr="009C3A47">
        <w:rPr>
          <w:rFonts w:ascii="Arial" w:hAnsi="Arial" w:cs="Arial"/>
          <w:color w:val="010000"/>
          <w:sz w:val="20"/>
        </w:rPr>
        <w:t>ownership rate is 51% according to Official Dispatch No. 5844/UBCK-PTTT of the State Securities Commission issued on October 4, 2021. Criteria for selecting investors for the offering are the domestic pr</w:t>
      </w:r>
      <w:r w:rsidR="00AC4FEB" w:rsidRPr="009C3A47">
        <w:rPr>
          <w:rFonts w:ascii="Arial" w:hAnsi="Arial" w:cs="Arial"/>
          <w:color w:val="010000"/>
          <w:sz w:val="20"/>
        </w:rPr>
        <w:t>ofessional securities investors.</w:t>
      </w:r>
      <w:r w:rsidRPr="009C3A47">
        <w:rPr>
          <w:rFonts w:ascii="Arial" w:hAnsi="Arial" w:cs="Arial"/>
          <w:color w:val="010000"/>
          <w:sz w:val="20"/>
        </w:rPr>
        <w:t xml:space="preserve"> </w:t>
      </w:r>
      <w:r w:rsidR="00AC4FEB" w:rsidRPr="009C3A47">
        <w:rPr>
          <w:rFonts w:ascii="Arial" w:hAnsi="Arial" w:cs="Arial"/>
          <w:color w:val="010000"/>
          <w:sz w:val="20"/>
        </w:rPr>
        <w:t>T</w:t>
      </w:r>
      <w:r w:rsidRPr="009C3A47">
        <w:rPr>
          <w:rFonts w:ascii="Arial" w:hAnsi="Arial" w:cs="Arial"/>
          <w:color w:val="010000"/>
          <w:sz w:val="20"/>
        </w:rPr>
        <w:t>herefore, the offering ensures the maximum foreign ownership rate according to legal regulations.</w:t>
      </w:r>
    </w:p>
    <w:p w14:paraId="099F44AF" w14:textId="77777777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Article 3: Approve the blocked account to receive money to buy shares from the private placement:</w:t>
      </w:r>
    </w:p>
    <w:p w14:paraId="1C3FDCD0" w14:textId="40C62492" w:rsidR="00ED1DDD" w:rsidRPr="009C3A47" w:rsidRDefault="00393BE1" w:rsidP="0071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Opened at: Joint Stock Commercial Bank for Investment and Development of Vietnam - Cho Lon Branch </w:t>
      </w:r>
      <w:r w:rsidR="00AC4FEB" w:rsidRPr="009C3A47">
        <w:rPr>
          <w:rFonts w:ascii="Arial" w:hAnsi="Arial" w:cs="Arial"/>
          <w:color w:val="010000"/>
          <w:sz w:val="20"/>
        </w:rPr>
        <w:t>–</w:t>
      </w:r>
      <w:r w:rsidR="00AC4FEB" w:rsidRPr="009C3A47">
        <w:rPr>
          <w:rFonts w:ascii="Arial" w:eastAsia="Arial" w:hAnsi="Arial" w:cs="Arial"/>
          <w:color w:val="010000"/>
          <w:sz w:val="20"/>
          <w:szCs w:val="20"/>
        </w:rPr>
        <w:t xml:space="preserve"> Ho </w:t>
      </w:r>
      <w:r w:rsidRPr="009C3A47">
        <w:rPr>
          <w:rFonts w:ascii="Arial" w:hAnsi="Arial" w:cs="Arial"/>
          <w:color w:val="010000"/>
          <w:sz w:val="20"/>
        </w:rPr>
        <w:t>Chi Minh City</w:t>
      </w:r>
    </w:p>
    <w:p w14:paraId="5906E842" w14:textId="77777777" w:rsidR="00ED1DDD" w:rsidRPr="009C3A47" w:rsidRDefault="00393BE1" w:rsidP="0071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Account owner: Viet Thanh Plastic Trading </w:t>
      </w:r>
      <w:proofErr w:type="gramStart"/>
      <w:r w:rsidRPr="009C3A47">
        <w:rPr>
          <w:rFonts w:ascii="Arial" w:hAnsi="Arial" w:cs="Arial"/>
          <w:color w:val="010000"/>
          <w:sz w:val="20"/>
        </w:rPr>
        <w:t>And</w:t>
      </w:r>
      <w:proofErr w:type="gramEnd"/>
      <w:r w:rsidRPr="009C3A47">
        <w:rPr>
          <w:rFonts w:ascii="Arial" w:hAnsi="Arial" w:cs="Arial"/>
          <w:color w:val="010000"/>
          <w:sz w:val="20"/>
        </w:rPr>
        <w:t xml:space="preserve"> Manufacturing Joint Stock Company</w:t>
      </w:r>
    </w:p>
    <w:p w14:paraId="79091DDD" w14:textId="6861E1E8" w:rsidR="00ED1DDD" w:rsidRPr="009C3A47" w:rsidRDefault="00393BE1" w:rsidP="0071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Account number:</w:t>
      </w:r>
      <w:r w:rsidR="0021590D" w:rsidRPr="009C3A47">
        <w:rPr>
          <w:rFonts w:ascii="Arial" w:hAnsi="Arial" w:cs="Arial"/>
          <w:color w:val="010000"/>
          <w:sz w:val="20"/>
        </w:rPr>
        <w:t xml:space="preserve"> </w:t>
      </w:r>
      <w:r w:rsidRPr="009C3A47">
        <w:rPr>
          <w:rFonts w:ascii="Arial" w:hAnsi="Arial" w:cs="Arial"/>
          <w:color w:val="010000"/>
          <w:sz w:val="20"/>
        </w:rPr>
        <w:t>8660023911</w:t>
      </w:r>
    </w:p>
    <w:p w14:paraId="6DCBAB15" w14:textId="27B8250A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 xml:space="preserve">Article 4: Authorize the Chair of the Board of Directors and </w:t>
      </w:r>
      <w:r w:rsidR="00715381">
        <w:rPr>
          <w:rFonts w:ascii="Arial" w:hAnsi="Arial" w:cs="Arial"/>
          <w:color w:val="010000"/>
          <w:sz w:val="20"/>
        </w:rPr>
        <w:t>Managing Director</w:t>
      </w:r>
      <w:r w:rsidRPr="009C3A47">
        <w:rPr>
          <w:rFonts w:ascii="Arial" w:hAnsi="Arial" w:cs="Arial"/>
          <w:color w:val="010000"/>
          <w:sz w:val="20"/>
        </w:rPr>
        <w:t xml:space="preserve"> to direct the implementation of detailed procedures and work for </w:t>
      </w:r>
      <w:r w:rsidR="00AC4FEB" w:rsidRPr="009C3A47">
        <w:rPr>
          <w:rFonts w:ascii="Arial" w:hAnsi="Arial" w:cs="Arial"/>
          <w:color w:val="010000"/>
          <w:sz w:val="20"/>
        </w:rPr>
        <w:t>implementing th</w:t>
      </w:r>
      <w:r w:rsidRPr="009C3A47">
        <w:rPr>
          <w:rFonts w:ascii="Arial" w:hAnsi="Arial" w:cs="Arial"/>
          <w:color w:val="010000"/>
          <w:sz w:val="20"/>
        </w:rPr>
        <w:t>e private placement to increase charter capital approved in this Resolution.</w:t>
      </w:r>
    </w:p>
    <w:p w14:paraId="396F31F3" w14:textId="495F3488" w:rsidR="00ED1DDD" w:rsidRPr="009C3A47" w:rsidRDefault="00393BE1" w:rsidP="007153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A47">
        <w:rPr>
          <w:rFonts w:ascii="Arial" w:hAnsi="Arial" w:cs="Arial"/>
          <w:color w:val="010000"/>
          <w:sz w:val="20"/>
        </w:rPr>
        <w:t>Article 5: This</w:t>
      </w:r>
      <w:r w:rsidR="00715381">
        <w:rPr>
          <w:rFonts w:ascii="Arial" w:hAnsi="Arial" w:cs="Arial"/>
          <w:color w:val="010000"/>
          <w:sz w:val="20"/>
        </w:rPr>
        <w:t xml:space="preserve"> Board</w:t>
      </w:r>
      <w:r w:rsidRPr="009C3A47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715381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 w:rsidRPr="009C3A47">
        <w:rPr>
          <w:rFonts w:ascii="Arial" w:hAnsi="Arial" w:cs="Arial"/>
          <w:color w:val="010000"/>
          <w:sz w:val="20"/>
        </w:rPr>
        <w:t>and related departments are responsible for implementing this Resolution.</w:t>
      </w:r>
    </w:p>
    <w:sectPr w:rsidR="00ED1DDD" w:rsidRPr="009C3A47" w:rsidSect="0021590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7FC"/>
    <w:multiLevelType w:val="multilevel"/>
    <w:tmpl w:val="1506E3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9E31E6"/>
    <w:multiLevelType w:val="multilevel"/>
    <w:tmpl w:val="0D667904"/>
    <w:lvl w:ilvl="0">
      <w:start w:val="1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9D71E1"/>
    <w:multiLevelType w:val="multilevel"/>
    <w:tmpl w:val="4B067D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9D2EB1"/>
    <w:multiLevelType w:val="multilevel"/>
    <w:tmpl w:val="16AABA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D"/>
    <w:rsid w:val="0021590D"/>
    <w:rsid w:val="00393BE1"/>
    <w:rsid w:val="005E5DEE"/>
    <w:rsid w:val="00715381"/>
    <w:rsid w:val="007F1BA4"/>
    <w:rsid w:val="009C3A47"/>
    <w:rsid w:val="00AC4FEB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7C8A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00" w:lineRule="auto"/>
      <w:ind w:firstLine="1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2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  <w:ind w:left="2780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Qmw+s51Fh+P8AkJGG5a4DY1BQ==">CgMxLjAyCGguZ2pkZ3hzOAByITFrckRocEpPaHlWRUxlM0FpeE1GSzVyNVVIZWxuMG5kdg==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2024-05-09T03:42:00Z</dcterms:created>
  <dcterms:modified xsi:type="dcterms:W3CDTF">2024-05-09T03:42:00Z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b26b4436bfddd2b28c83380072a4651017240637951f68796bdc028ca0563205</vt:lpwstr>
  </property>
</Properties>
</file>