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EFE0" w14:textId="77777777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B486C">
        <w:rPr>
          <w:rFonts w:ascii="Arial" w:hAnsi="Arial" w:cs="Arial"/>
          <w:b/>
          <w:color w:val="010000"/>
          <w:sz w:val="20"/>
          <w:szCs w:val="20"/>
        </w:rPr>
        <w:t>CYC: Annual General Mandate 2024</w:t>
      </w:r>
    </w:p>
    <w:p w14:paraId="163263C2" w14:textId="7C5D7EC0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On May 31, 2024,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announced General Mandate No.</w:t>
      </w:r>
      <w:r w:rsidR="008F614A" w:rsidRPr="00DB486C">
        <w:rPr>
          <w:rFonts w:ascii="Arial" w:hAnsi="Arial" w:cs="Arial"/>
          <w:color w:val="010000"/>
          <w:sz w:val="20"/>
          <w:szCs w:val="20"/>
        </w:rPr>
        <w:t xml:space="preserve"> </w:t>
      </w:r>
      <w:r w:rsidRPr="00DB486C">
        <w:rPr>
          <w:rFonts w:ascii="Arial" w:hAnsi="Arial" w:cs="Arial"/>
          <w:color w:val="010000"/>
          <w:sz w:val="20"/>
          <w:szCs w:val="20"/>
        </w:rPr>
        <w:t>2405/CYC-NQCD as follows:</w:t>
      </w:r>
    </w:p>
    <w:p w14:paraId="2629B4DD" w14:textId="77777777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ARTICLE 1 - APPROVE THE AUDITED FINANCIAL STATEMENTS 2023 </w:t>
      </w:r>
    </w:p>
    <w:p w14:paraId="290C3C48" w14:textId="3D8E4ABA" w:rsidR="00D81944" w:rsidRPr="00DB486C" w:rsidRDefault="008B6496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General Meeting of Shareholders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unanimously approves the Financial Statements of the Company for the accounting period dated December 31, 2023</w:t>
      </w:r>
      <w:r w:rsidR="00DB486C">
        <w:rPr>
          <w:rFonts w:ascii="Arial" w:hAnsi="Arial" w:cs="Arial"/>
          <w:color w:val="010000"/>
          <w:sz w:val="20"/>
          <w:szCs w:val="20"/>
        </w:rPr>
        <w:t>,</w:t>
      </w:r>
      <w:r w:rsidRPr="00DB486C">
        <w:rPr>
          <w:rFonts w:ascii="Arial" w:hAnsi="Arial" w:cs="Arial"/>
          <w:color w:val="010000"/>
          <w:sz w:val="20"/>
          <w:szCs w:val="20"/>
        </w:rPr>
        <w:t xml:space="preserve"> audited by DFK Vietnam Auditing Co., Ltd, including main targets as follows:</w:t>
      </w:r>
    </w:p>
    <w:p w14:paraId="55716042" w14:textId="77777777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DB486C">
        <w:rPr>
          <w:rFonts w:ascii="Arial" w:hAnsi="Arial" w:cs="Arial"/>
          <w:i/>
          <w:color w:val="010000"/>
          <w:sz w:val="20"/>
          <w:szCs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5"/>
        <w:gridCol w:w="3782"/>
        <w:gridCol w:w="2352"/>
        <w:gridCol w:w="2348"/>
      </w:tblGrid>
      <w:tr w:rsidR="00D81944" w:rsidRPr="00DB486C" w14:paraId="2E556F9E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6B67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2E20D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6D913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2022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28B42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2023</w:t>
            </w:r>
          </w:p>
        </w:tc>
      </w:tr>
      <w:tr w:rsidR="00D81944" w:rsidRPr="00DB486C" w14:paraId="0772C895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7D7FE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A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5EBB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Total assets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0870C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230,104.23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9C0B5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230,360.19</w:t>
            </w:r>
          </w:p>
        </w:tc>
      </w:tr>
      <w:tr w:rsidR="00D81944" w:rsidRPr="00DB486C" w14:paraId="56B56340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5B419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B1738" w14:textId="429961F6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Short-term assets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6AE04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183,072.90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E8DDE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192,052.97</w:t>
            </w:r>
          </w:p>
        </w:tc>
      </w:tr>
      <w:tr w:rsidR="00D81944" w:rsidRPr="00DB486C" w14:paraId="6A2AC809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D73C8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F77D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Long-term assets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5C8E1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47,031.33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81BAE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38,307.22</w:t>
            </w:r>
          </w:p>
        </w:tc>
      </w:tr>
      <w:tr w:rsidR="00D81944" w:rsidRPr="00DB486C" w14:paraId="66C56A25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8FBB5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B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CFA96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Total capital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6304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230,104.23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7AB59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230,360.19</w:t>
            </w:r>
          </w:p>
        </w:tc>
      </w:tr>
      <w:tr w:rsidR="00D81944" w:rsidRPr="00DB486C" w14:paraId="33E0A722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5EE19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C1B10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Payables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6F074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312,244.55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38275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323,914.39</w:t>
            </w:r>
          </w:p>
        </w:tc>
      </w:tr>
      <w:tr w:rsidR="00D81944" w:rsidRPr="00DB486C" w14:paraId="2C72F501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89B04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FD639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Short-term payables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A2685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297,244.55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47FAE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307,914.39</w:t>
            </w:r>
          </w:p>
        </w:tc>
      </w:tr>
      <w:tr w:rsidR="00D81944" w:rsidRPr="00DB486C" w14:paraId="214D03D1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DE315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D6D8D" w14:textId="6ACA35F6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 xml:space="preserve">Long-term </w:t>
            </w:r>
            <w:r w:rsidR="008B6496" w:rsidRPr="00DB486C">
              <w:rPr>
                <w:rFonts w:ascii="Arial" w:hAnsi="Arial" w:cs="Arial"/>
                <w:color w:val="010000"/>
                <w:sz w:val="20"/>
                <w:szCs w:val="20"/>
              </w:rPr>
              <w:t>payables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09AA8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16,000.00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9F01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16,000.00</w:t>
            </w:r>
          </w:p>
        </w:tc>
      </w:tr>
      <w:tr w:rsidR="00D81944" w:rsidRPr="00DB486C" w14:paraId="5B60B3F3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831C2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9A83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 xml:space="preserve">Owners' equity 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7C795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(83,140.32)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08B6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(93,554.20)</w:t>
            </w:r>
          </w:p>
        </w:tc>
      </w:tr>
      <w:tr w:rsidR="00D81944" w:rsidRPr="00DB486C" w14:paraId="43A3DE55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460B3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C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E6A52" w14:textId="5DBB631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1CDF0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188,196.96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65DA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141,664.88</w:t>
            </w:r>
          </w:p>
        </w:tc>
      </w:tr>
      <w:tr w:rsidR="00D81944" w:rsidRPr="00DB486C" w14:paraId="4813275A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536BA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D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13ADC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Total expenses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BFA1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195,927.41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6269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152,078.76</w:t>
            </w:r>
          </w:p>
        </w:tc>
      </w:tr>
      <w:tr w:rsidR="00D81944" w:rsidRPr="00DB486C" w14:paraId="01D2AC6F" w14:textId="77777777" w:rsidTr="00DB486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97FE3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E</w:t>
            </w:r>
          </w:p>
        </w:tc>
        <w:tc>
          <w:tcPr>
            <w:tcW w:w="2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BF94A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74CD8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(7,730.45)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BE6D0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(10,413.88)</w:t>
            </w:r>
          </w:p>
        </w:tc>
      </w:tr>
    </w:tbl>
    <w:p w14:paraId="0A2DBCE6" w14:textId="77777777" w:rsidR="00D81944" w:rsidRPr="00DB486C" w:rsidRDefault="00BF5FB4" w:rsidP="00DB486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>ARTICLE 2: APPROVE PLAN ON PROFIT DISTRIBUTION</w:t>
      </w:r>
    </w:p>
    <w:p w14:paraId="17B47B3B" w14:textId="3BF19758" w:rsidR="00D81944" w:rsidRPr="00DB486C" w:rsidRDefault="001346CE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General Meeting of Shareholders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unanimously approves the plan on profit distribution of not distributing to funds and not paying dividends in 2023</w:t>
      </w:r>
    </w:p>
    <w:p w14:paraId="01E84F55" w14:textId="77777777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ARTICLE 3: APPROVE REMUNERATION OF THE BOARD OF DIRECTORS AND THE SUPERVISORY BOARD 2023. </w:t>
      </w:r>
    </w:p>
    <w:p w14:paraId="4838305B" w14:textId="5534353A" w:rsidR="00D81944" w:rsidRPr="00DB486C" w:rsidRDefault="001346CE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General Meeting of Shareholders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unanimously approves remuneration for members of the Board of Directors 2023 with VND 0. </w:t>
      </w:r>
    </w:p>
    <w:p w14:paraId="2EA3E54C" w14:textId="7D143014" w:rsidR="00D81944" w:rsidRPr="00DB486C" w:rsidRDefault="001346CE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General Meeting of Shareholders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unanimously approves remuneration for members of the Supervisory Board 2023 with VND 0. </w:t>
      </w:r>
    </w:p>
    <w:p w14:paraId="60A05951" w14:textId="77777777" w:rsidR="00D81944" w:rsidRPr="00DB486C" w:rsidRDefault="00BF5FB4" w:rsidP="00DB486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>ARTICLE 4: APPROVE PLAN ON PRODUCTION AND BUSINESS 2024</w:t>
      </w:r>
    </w:p>
    <w:p w14:paraId="028F67EC" w14:textId="2AC5D879" w:rsidR="00D81944" w:rsidRPr="00DB486C" w:rsidRDefault="001346CE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General Meeting of Shareholders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unanimously approves plan </w:t>
      </w:r>
      <w:r w:rsidR="00DB486C">
        <w:rPr>
          <w:rFonts w:ascii="Arial" w:hAnsi="Arial" w:cs="Arial"/>
          <w:color w:val="010000"/>
          <w:sz w:val="20"/>
          <w:szCs w:val="20"/>
        </w:rPr>
        <w:t>for</w:t>
      </w:r>
      <w:r w:rsidRPr="00DB486C">
        <w:rPr>
          <w:rFonts w:ascii="Arial" w:hAnsi="Arial" w:cs="Arial"/>
          <w:color w:val="010000"/>
          <w:sz w:val="20"/>
          <w:szCs w:val="20"/>
        </w:rPr>
        <w:t xml:space="preserve"> production and business </w:t>
      </w:r>
      <w:r w:rsidR="00DB486C">
        <w:rPr>
          <w:rFonts w:ascii="Arial" w:hAnsi="Arial" w:cs="Arial"/>
          <w:color w:val="010000"/>
          <w:sz w:val="20"/>
          <w:szCs w:val="20"/>
        </w:rPr>
        <w:t xml:space="preserve">in </w:t>
      </w:r>
      <w:r w:rsidRPr="00DB486C">
        <w:rPr>
          <w:rFonts w:ascii="Arial" w:hAnsi="Arial" w:cs="Arial"/>
          <w:color w:val="010000"/>
          <w:sz w:val="20"/>
          <w:szCs w:val="20"/>
        </w:rPr>
        <w:t>2024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7"/>
        <w:gridCol w:w="3672"/>
        <w:gridCol w:w="1721"/>
        <w:gridCol w:w="1814"/>
        <w:gridCol w:w="1133"/>
      </w:tblGrid>
      <w:tr w:rsidR="00D81944" w:rsidRPr="00DB486C" w14:paraId="32EE6BC6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28700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E2AB" w14:textId="319D9728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19889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56E27" w14:textId="030E71ED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Plan 2024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F925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D81944" w:rsidRPr="00DB486C" w14:paraId="48316CBD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9660A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C890B" w14:textId="05BCB1BA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Total production volume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224C3" w14:textId="3D227183" w:rsidR="00D81944" w:rsidRPr="00DB486C" w:rsidRDefault="001346CE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eastAsia="Arial" w:hAnsi="Arial" w:cs="Arial"/>
                <w:color w:val="010000"/>
                <w:sz w:val="20"/>
                <w:szCs w:val="20"/>
              </w:rPr>
              <w:t>m2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4EC4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1,000,000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F8DD8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62D07F89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55D43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79B92" w14:textId="32FAD808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Total revenue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80DC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547B0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140,000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BEDD9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71E1E8AA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9A593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1ED71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ED767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A4B9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2,000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35433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56F3FAF7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7AE2F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1F9CB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Rate of Dividend payment /charter capital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8CDD9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DB402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F70B7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01693FD5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FB171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7227A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Procurement of Fixed assets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287C6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F8E86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2,000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B6B1E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3137734D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2915E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F8575" w14:textId="7CEE9B66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Taxes and payables</w:t>
            </w:r>
            <w:r w:rsidR="008B6496" w:rsidRPr="00DB486C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FDBA8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A8323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1,000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BE04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5E45C436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F0E44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31081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Income and average labor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D21D9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83468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F6AED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5A4B2D88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53BB6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084C4" w14:textId="1B255284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Average number of employees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23043" w14:textId="7EA5C0C9" w:rsidR="00D81944" w:rsidRPr="00DB486C" w:rsidRDefault="00CF3626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Person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26B1C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115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3D2CE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81944" w:rsidRPr="00DB486C" w14:paraId="79F77665" w14:textId="77777777" w:rsidTr="00774D96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EAEA0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20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DD909" w14:textId="5536F0CB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 xml:space="preserve">Average income of </w:t>
            </w:r>
            <w:r w:rsidR="00CF3626" w:rsidRPr="00DB486C">
              <w:rPr>
                <w:rFonts w:ascii="Arial" w:hAnsi="Arial" w:cs="Arial"/>
                <w:color w:val="010000"/>
                <w:sz w:val="20"/>
                <w:szCs w:val="20"/>
              </w:rPr>
              <w:t>officers-workers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C0EDA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VND/person/month</w:t>
            </w:r>
          </w:p>
        </w:tc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2A034" w14:textId="77777777" w:rsidR="00D81944" w:rsidRPr="00DB486C" w:rsidRDefault="00BF5FB4" w:rsidP="00DB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486C">
              <w:rPr>
                <w:rFonts w:ascii="Arial" w:hAnsi="Arial" w:cs="Arial"/>
                <w:color w:val="010000"/>
                <w:sz w:val="20"/>
                <w:szCs w:val="20"/>
              </w:rPr>
              <w:t>11,500,000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8D105" w14:textId="77777777" w:rsidR="00D81944" w:rsidRPr="00DB486C" w:rsidRDefault="00D81944" w:rsidP="00DB486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585E8C5" w14:textId="77777777" w:rsidR="00D81944" w:rsidRPr="00DB486C" w:rsidRDefault="00BF5FB4" w:rsidP="00DB486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>ARTICLE 5: APPROVE SELECTION OF AUDIT COMPANY FOR THE FINANCIAL STATEMENTS 2024</w:t>
      </w:r>
    </w:p>
    <w:p w14:paraId="1D3F8C95" w14:textId="04208A5C" w:rsidR="00D81944" w:rsidRPr="00DB486C" w:rsidRDefault="00CF3626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General Meeting of Shareholders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unanimously approves the selection of DFK Vietnam Auditing Co., Ltd to audit the Financial Statements 2024 of the Company. </w:t>
      </w:r>
    </w:p>
    <w:p w14:paraId="2A0100C1" w14:textId="77777777" w:rsidR="00D81944" w:rsidRPr="00DB486C" w:rsidRDefault="00BF5FB4" w:rsidP="00DB486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>ARTICLE 6: IMPLEMENTATION</w:t>
      </w:r>
    </w:p>
    <w:p w14:paraId="0386B0AD" w14:textId="5C354E03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The Board of Directors, the Supervisory Board, </w:t>
      </w:r>
      <w:r w:rsidR="00DB486C">
        <w:rPr>
          <w:rFonts w:ascii="Arial" w:hAnsi="Arial" w:cs="Arial"/>
          <w:color w:val="010000"/>
          <w:sz w:val="20"/>
          <w:szCs w:val="20"/>
        </w:rPr>
        <w:t xml:space="preserve">and </w:t>
      </w:r>
      <w:bookmarkStart w:id="1" w:name="_GoBack"/>
      <w:bookmarkEnd w:id="1"/>
      <w:r w:rsidRPr="00DB486C">
        <w:rPr>
          <w:rFonts w:ascii="Arial" w:hAnsi="Arial" w:cs="Arial"/>
          <w:color w:val="010000"/>
          <w:sz w:val="20"/>
          <w:szCs w:val="20"/>
        </w:rPr>
        <w:t xml:space="preserve">the Board of Managers of Chang </w:t>
      </w:r>
      <w:proofErr w:type="spellStart"/>
      <w:r w:rsidRPr="00DB486C">
        <w:rPr>
          <w:rFonts w:ascii="Arial" w:hAnsi="Arial" w:cs="Arial"/>
          <w:color w:val="010000"/>
          <w:sz w:val="20"/>
          <w:szCs w:val="20"/>
        </w:rPr>
        <w:t>Yih</w:t>
      </w:r>
      <w:proofErr w:type="spellEnd"/>
      <w:r w:rsidRPr="00DB486C">
        <w:rPr>
          <w:rFonts w:ascii="Arial" w:hAnsi="Arial" w:cs="Arial"/>
          <w:color w:val="010000"/>
          <w:sz w:val="20"/>
          <w:szCs w:val="20"/>
        </w:rPr>
        <w:t xml:space="preserve"> Ceramic Joint Stock Company take responsibility </w:t>
      </w:r>
      <w:r w:rsidR="00CF3626" w:rsidRPr="00DB486C">
        <w:rPr>
          <w:rFonts w:ascii="Arial" w:hAnsi="Arial" w:cs="Arial"/>
          <w:color w:val="010000"/>
          <w:sz w:val="20"/>
          <w:szCs w:val="20"/>
        </w:rPr>
        <w:t>for</w:t>
      </w:r>
      <w:r w:rsidRPr="00DB486C">
        <w:rPr>
          <w:rFonts w:ascii="Arial" w:hAnsi="Arial" w:cs="Arial"/>
          <w:color w:val="010000"/>
          <w:sz w:val="20"/>
          <w:szCs w:val="20"/>
        </w:rPr>
        <w:t xml:space="preserve"> organizing </w:t>
      </w:r>
      <w:r w:rsidR="00CF3626" w:rsidRPr="00DB486C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DB486C">
        <w:rPr>
          <w:rFonts w:ascii="Arial" w:hAnsi="Arial" w:cs="Arial"/>
          <w:color w:val="010000"/>
          <w:sz w:val="20"/>
          <w:szCs w:val="20"/>
        </w:rPr>
        <w:t xml:space="preserve">directing the Company to implement contents in this General Mandate. </w:t>
      </w:r>
    </w:p>
    <w:p w14:paraId="6134980A" w14:textId="7E36E7E5" w:rsidR="00D81944" w:rsidRPr="00DB486C" w:rsidRDefault="00BF5FB4" w:rsidP="00DB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86C">
        <w:rPr>
          <w:rFonts w:ascii="Arial" w:hAnsi="Arial" w:cs="Arial"/>
          <w:color w:val="010000"/>
          <w:sz w:val="20"/>
          <w:szCs w:val="20"/>
        </w:rPr>
        <w:t xml:space="preserve">This </w:t>
      </w:r>
      <w:r w:rsidR="00CF3626" w:rsidRPr="00DB486C">
        <w:rPr>
          <w:rFonts w:ascii="Arial" w:hAnsi="Arial" w:cs="Arial"/>
          <w:color w:val="010000"/>
          <w:sz w:val="20"/>
          <w:szCs w:val="20"/>
        </w:rPr>
        <w:t xml:space="preserve">General </w:t>
      </w:r>
      <w:r w:rsidRPr="00DB486C">
        <w:rPr>
          <w:rFonts w:ascii="Arial" w:hAnsi="Arial" w:cs="Arial"/>
          <w:color w:val="010000"/>
          <w:sz w:val="20"/>
          <w:szCs w:val="20"/>
        </w:rPr>
        <w:t>Mandate takes effect from the date of its signing.</w:t>
      </w:r>
    </w:p>
    <w:sectPr w:rsidR="00D81944" w:rsidRPr="00DB486C" w:rsidSect="00774D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  <w:embedRegular r:id="rId1" w:fontKey="{25F006DA-94A8-4531-8A95-9FEF9AD7BA55}"/>
    <w:embedBold r:id="rId2" w:fontKey="{20934DE0-9152-4586-9B5B-9F19821AF8FE}"/>
    <w:embedItalic r:id="rId3" w:fontKey="{2594B997-2065-467C-9922-59E6E8B57D2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4" w:fontKey="{C009F799-B80C-42A0-837E-C0D0E7BCE388}"/>
    <w:embedItalic r:id="rId5" w:fontKey="{E6F218B8-214B-4C3E-81F7-49B99D19DA6F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4"/>
    <w:rsid w:val="001346CE"/>
    <w:rsid w:val="001B26DB"/>
    <w:rsid w:val="0030397F"/>
    <w:rsid w:val="00774D96"/>
    <w:rsid w:val="008B6496"/>
    <w:rsid w:val="008F614A"/>
    <w:rsid w:val="009E16D4"/>
    <w:rsid w:val="00BF5FB4"/>
    <w:rsid w:val="00CF3626"/>
    <w:rsid w:val="00D81944"/>
    <w:rsid w:val="00D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1715C"/>
  <w15:docId w15:val="{0E9A5EA0-A659-4BD4-8EE5-56EA2D6E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305" w:lineRule="auto"/>
      <w:ind w:left="10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310" w:lineRule="auto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11">
    <w:name w:val="Heading #1"/>
    <w:basedOn w:val="Normal"/>
    <w:link w:val="Heading10"/>
    <w:pPr>
      <w:spacing w:line="192" w:lineRule="auto"/>
      <w:jc w:val="center"/>
      <w:outlineLvl w:val="0"/>
    </w:pPr>
    <w:rPr>
      <w:rFonts w:ascii="Courier New" w:eastAsia="Courier New" w:hAnsi="Courier New" w:cs="Courier New"/>
      <w:sz w:val="64"/>
      <w:szCs w:val="64"/>
    </w:rPr>
  </w:style>
  <w:style w:type="paragraph" w:customStyle="1" w:styleId="Bodytext50">
    <w:name w:val="Body text (5)"/>
    <w:basedOn w:val="Normal"/>
    <w:link w:val="Bodytext5"/>
    <w:pPr>
      <w:spacing w:line="295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21">
    <w:name w:val="Heading #2"/>
    <w:basedOn w:val="Normal"/>
    <w:link w:val="Heading20"/>
    <w:pPr>
      <w:spacing w:line="295" w:lineRule="auto"/>
      <w:jc w:val="center"/>
      <w:outlineLvl w:val="1"/>
    </w:pPr>
    <w:rPr>
      <w:rFonts w:ascii="Arial" w:eastAsia="Arial" w:hAnsi="Arial" w:cs="Arial"/>
      <w:sz w:val="42"/>
      <w:szCs w:val="42"/>
    </w:rPr>
  </w:style>
  <w:style w:type="paragraph" w:customStyle="1" w:styleId="Other0">
    <w:name w:val="Other"/>
    <w:basedOn w:val="Normal"/>
    <w:link w:val="Other"/>
    <w:pPr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CBE5Gs6CVoBoMHvEEkfz9TeboA==">CgMxLjAyCGguZ2pkZ3hzOAByITFJZGdHM1ZOY05vbFlXcGczcTdLLVR1UFQ3RkhFeFkyYg==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2389</Characters>
  <Application>Microsoft Office Word</Application>
  <DocSecurity>0</DocSecurity>
  <Lines>129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2024-06-06T04:32:00Z</dcterms:created>
  <dcterms:modified xsi:type="dcterms:W3CDTF">2024-06-10T03:32:00Z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feee9b9f78252ae8a0bb5b3eeeacd3d1956e026a6f7db857d31974baa0230b39</vt:lpwstr>
  </property>
</Properties>
</file>