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B75E9" w:rsidRPr="007B3E9E" w:rsidRDefault="00DF3505" w:rsidP="004F16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B3E9E">
        <w:rPr>
          <w:rFonts w:ascii="Arial" w:hAnsi="Arial" w:cs="Arial"/>
          <w:b/>
          <w:color w:val="010000"/>
          <w:sz w:val="20"/>
        </w:rPr>
        <w:t xml:space="preserve">PCT: Board Resolution </w:t>
      </w:r>
    </w:p>
    <w:p w14:paraId="00000002" w14:textId="4B727CD9" w:rsidR="00AB75E9" w:rsidRPr="007B3E9E" w:rsidRDefault="00DF3505" w:rsidP="004F16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E9E">
        <w:rPr>
          <w:rFonts w:ascii="Arial" w:hAnsi="Arial" w:cs="Arial"/>
          <w:color w:val="010000"/>
          <w:sz w:val="20"/>
        </w:rPr>
        <w:t xml:space="preserve">On June 4, 2024, Global Pacific Shipping JSC announced Resolution No. 15/2024/NQ-PCT-HDQT on the approval of </w:t>
      </w:r>
      <w:r w:rsidR="007B3E9E" w:rsidRPr="007B3E9E">
        <w:rPr>
          <w:rFonts w:ascii="Arial" w:hAnsi="Arial" w:cs="Arial"/>
          <w:color w:val="010000"/>
          <w:sz w:val="20"/>
        </w:rPr>
        <w:t>the investment in vessel</w:t>
      </w:r>
      <w:r w:rsidRPr="007B3E9E">
        <w:rPr>
          <w:rFonts w:ascii="Arial" w:hAnsi="Arial" w:cs="Arial"/>
          <w:color w:val="010000"/>
          <w:sz w:val="20"/>
        </w:rPr>
        <w:t xml:space="preserve"> N</w:t>
      </w:r>
      <w:bookmarkStart w:id="0" w:name="_GoBack"/>
      <w:bookmarkEnd w:id="0"/>
      <w:r w:rsidRPr="007B3E9E">
        <w:rPr>
          <w:rFonts w:ascii="Arial" w:hAnsi="Arial" w:cs="Arial"/>
          <w:color w:val="010000"/>
          <w:sz w:val="20"/>
        </w:rPr>
        <w:t>o. 4 as follows:</w:t>
      </w:r>
    </w:p>
    <w:p w14:paraId="00000003" w14:textId="7CA91E4B" w:rsidR="00AB75E9" w:rsidRPr="007B3E9E" w:rsidRDefault="00DF3505" w:rsidP="004F16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E9E">
        <w:rPr>
          <w:rFonts w:ascii="Arial" w:hAnsi="Arial" w:cs="Arial"/>
          <w:color w:val="010000"/>
          <w:sz w:val="20"/>
        </w:rPr>
        <w:t xml:space="preserve">Article 1: Approve the investment of </w:t>
      </w:r>
      <w:r w:rsidR="007B3E9E" w:rsidRPr="007B3E9E">
        <w:rPr>
          <w:rFonts w:ascii="Arial" w:hAnsi="Arial" w:cs="Arial"/>
          <w:color w:val="010000"/>
          <w:sz w:val="20"/>
        </w:rPr>
        <w:t>vessel</w:t>
      </w:r>
      <w:r w:rsidRPr="007B3E9E">
        <w:rPr>
          <w:rFonts w:ascii="Arial" w:hAnsi="Arial" w:cs="Arial"/>
          <w:color w:val="010000"/>
          <w:sz w:val="20"/>
        </w:rPr>
        <w:t xml:space="preserve"> No. 4 in accordance with the criteria approved by the 1st Extraordinary General Meeting of Shareholders 2024 on May 31, 2024.</w:t>
      </w:r>
    </w:p>
    <w:p w14:paraId="00000004" w14:textId="269BC17A" w:rsidR="00AB75E9" w:rsidRPr="007B3E9E" w:rsidRDefault="00DF3505" w:rsidP="004F16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E9E">
        <w:rPr>
          <w:rFonts w:ascii="Arial" w:hAnsi="Arial" w:cs="Arial"/>
          <w:color w:val="010000"/>
          <w:sz w:val="20"/>
        </w:rPr>
        <w:t>Article</w:t>
      </w:r>
      <w:r w:rsidR="0021700D" w:rsidRPr="007B3E9E">
        <w:rPr>
          <w:rFonts w:ascii="Arial" w:hAnsi="Arial" w:cs="Arial"/>
          <w:color w:val="010000"/>
          <w:sz w:val="20"/>
        </w:rPr>
        <w:t xml:space="preserve"> </w:t>
      </w:r>
      <w:r w:rsidRPr="007B3E9E">
        <w:rPr>
          <w:rFonts w:ascii="Arial" w:hAnsi="Arial" w:cs="Arial"/>
          <w:color w:val="010000"/>
          <w:sz w:val="20"/>
        </w:rPr>
        <w:t xml:space="preserve">2: Assign the Manager or a person authorized by the Manager to invest in </w:t>
      </w:r>
      <w:r w:rsidR="007B3E9E" w:rsidRPr="007B3E9E">
        <w:rPr>
          <w:rFonts w:ascii="Arial" w:hAnsi="Arial" w:cs="Arial"/>
          <w:color w:val="010000"/>
          <w:sz w:val="20"/>
        </w:rPr>
        <w:t>vessel</w:t>
      </w:r>
      <w:r w:rsidRPr="007B3E9E">
        <w:rPr>
          <w:rFonts w:ascii="Arial" w:hAnsi="Arial" w:cs="Arial"/>
          <w:color w:val="010000"/>
          <w:sz w:val="20"/>
        </w:rPr>
        <w:t xml:space="preserve"> No. 4 in accordance with the criteria approved by the 1st Extraordinary General Meeting of Shareholders 2024, as follows:</w:t>
      </w:r>
    </w:p>
    <w:p w14:paraId="00000005" w14:textId="77777777" w:rsidR="00AB75E9" w:rsidRPr="007B3E9E" w:rsidRDefault="00DF3505" w:rsidP="004F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E9E">
        <w:rPr>
          <w:rFonts w:ascii="Arial" w:hAnsi="Arial" w:cs="Arial"/>
          <w:color w:val="010000"/>
          <w:sz w:val="20"/>
        </w:rPr>
        <w:t>Type of vessel: Product/chemical tankers.</w:t>
      </w:r>
    </w:p>
    <w:p w14:paraId="00000006" w14:textId="677EA190" w:rsidR="00AB75E9" w:rsidRPr="007B3E9E" w:rsidRDefault="00DF3505" w:rsidP="004F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E9E">
        <w:rPr>
          <w:rFonts w:ascii="Arial" w:hAnsi="Arial" w:cs="Arial"/>
          <w:color w:val="010000"/>
          <w:sz w:val="20"/>
        </w:rPr>
        <w:t>Tonnage: About 19,000 - 25,000 DWT.</w:t>
      </w:r>
    </w:p>
    <w:p w14:paraId="00000007" w14:textId="77777777" w:rsidR="00AB75E9" w:rsidRPr="007B3E9E" w:rsidRDefault="00DF3505" w:rsidP="004F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E9E">
        <w:rPr>
          <w:rFonts w:ascii="Arial" w:hAnsi="Arial" w:cs="Arial"/>
          <w:color w:val="010000"/>
          <w:sz w:val="20"/>
        </w:rPr>
        <w:t>Shipyard: Japan/Korea or a Japanese/Korean shipyard with facilities located in the Southeast Asian country.</w:t>
      </w:r>
    </w:p>
    <w:p w14:paraId="00000008" w14:textId="77777777" w:rsidR="00AB75E9" w:rsidRPr="007B3E9E" w:rsidRDefault="00DF3505" w:rsidP="004F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E9E">
        <w:rPr>
          <w:rFonts w:ascii="Arial" w:hAnsi="Arial" w:cs="Arial"/>
          <w:color w:val="010000"/>
          <w:sz w:val="20"/>
        </w:rPr>
        <w:t>Investment method: Buy used vessels.</w:t>
      </w:r>
    </w:p>
    <w:p w14:paraId="00000009" w14:textId="710CEAE7" w:rsidR="00AB75E9" w:rsidRPr="007B3E9E" w:rsidRDefault="00DF3505" w:rsidP="004F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E9E">
        <w:rPr>
          <w:rFonts w:ascii="Arial" w:hAnsi="Arial" w:cs="Arial"/>
          <w:color w:val="010000"/>
          <w:sz w:val="20"/>
        </w:rPr>
        <w:t>Total investment value Not to exceed USD 23,120,000.</w:t>
      </w:r>
    </w:p>
    <w:p w14:paraId="0000000A" w14:textId="77777777" w:rsidR="00AB75E9" w:rsidRPr="007B3E9E" w:rsidRDefault="00DF3505" w:rsidP="004F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E9E">
        <w:rPr>
          <w:rFonts w:ascii="Arial" w:hAnsi="Arial" w:cs="Arial"/>
          <w:color w:val="010000"/>
          <w:sz w:val="20"/>
        </w:rPr>
        <w:t>The duration for investment: From June 2024.</w:t>
      </w:r>
    </w:p>
    <w:p w14:paraId="0000000B" w14:textId="179C8F30" w:rsidR="00AB75E9" w:rsidRPr="007B3E9E" w:rsidRDefault="00DF3505" w:rsidP="004F16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E9E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Board of Leaders of the Company, and affiliated departments/individuals are responsible for the implementation of this Resolution.</w:t>
      </w:r>
    </w:p>
    <w:sectPr w:rsidR="00AB75E9" w:rsidRPr="007B3E9E" w:rsidSect="009203B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178"/>
    <w:multiLevelType w:val="multilevel"/>
    <w:tmpl w:val="E634E75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9"/>
    <w:rsid w:val="0021700D"/>
    <w:rsid w:val="004F1696"/>
    <w:rsid w:val="007B3E9E"/>
    <w:rsid w:val="009203B5"/>
    <w:rsid w:val="00AB75E9"/>
    <w:rsid w:val="00DF3505"/>
    <w:rsid w:val="00F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22D2C"/>
  <w15:docId w15:val="{EFF8A87E-4D04-4637-BC82-2B99156B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37482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300" w:lineRule="auto"/>
    </w:pPr>
    <w:rPr>
      <w:rFonts w:ascii="Arial" w:eastAsia="Arial" w:hAnsi="Arial" w:cs="Arial"/>
      <w:color w:val="D37482"/>
      <w:sz w:val="18"/>
      <w:szCs w:val="1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GwTZ6+x+us2JrO7QL9KZKKqRpg==">CgMxLjA4AHIhMXh6MnFmNHJYd0d0ZWFfckd6eGJ4Q3hvc29yME4tWFN1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2024-06-06T03:57:00Z</dcterms:created>
  <dcterms:modified xsi:type="dcterms:W3CDTF">2024-06-07T09:27:00Z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9c7bf9b97391e0257d0fcf3812a9bc79880dd60e50118fc3ee1e2a53bb4a7d1a</vt:lpwstr>
  </property>
</Properties>
</file>