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96F7A">
        <w:rPr>
          <w:rFonts w:ascii="Arial" w:hAnsi="Arial" w:cs="Arial"/>
          <w:b/>
          <w:color w:val="010000"/>
          <w:sz w:val="20"/>
        </w:rPr>
        <w:t>DXP: Board Resolution</w:t>
      </w:r>
    </w:p>
    <w:p w14:paraId="00000002" w14:textId="77777777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 xml:space="preserve">On June 7, 2024, Doan </w:t>
      </w:r>
      <w:proofErr w:type="spellStart"/>
      <w:r w:rsidRPr="00196F7A">
        <w:rPr>
          <w:rFonts w:ascii="Arial" w:hAnsi="Arial" w:cs="Arial"/>
          <w:color w:val="010000"/>
          <w:sz w:val="20"/>
        </w:rPr>
        <w:t>Xa</w:t>
      </w:r>
      <w:proofErr w:type="spellEnd"/>
      <w:r w:rsidRPr="00196F7A">
        <w:rPr>
          <w:rFonts w:ascii="Arial" w:hAnsi="Arial" w:cs="Arial"/>
          <w:color w:val="010000"/>
          <w:sz w:val="20"/>
        </w:rPr>
        <w:t xml:space="preserve"> Port JSC announced Resolution No. 19/2024/DXP/NQ-HDQT as follows:</w:t>
      </w:r>
    </w:p>
    <w:p w14:paraId="00000003" w14:textId="3C4AC8DE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Article 1: Approve recording the list of shareholders to pay dividends in cash in 2023, with details as follows:</w:t>
      </w:r>
    </w:p>
    <w:p w14:paraId="00000004" w14:textId="19824643" w:rsidR="002E373F" w:rsidRPr="00196F7A" w:rsidRDefault="00AC2EAF" w:rsidP="00D6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The record date for the list of shareholders to pay d</w:t>
      </w:r>
      <w:bookmarkStart w:id="0" w:name="_GoBack"/>
      <w:bookmarkEnd w:id="0"/>
      <w:r w:rsidRPr="00196F7A">
        <w:rPr>
          <w:rFonts w:ascii="Arial" w:hAnsi="Arial" w:cs="Arial"/>
          <w:color w:val="010000"/>
          <w:sz w:val="20"/>
        </w:rPr>
        <w:t>ividends in cash in 2023 is: June 20, 2024</w:t>
      </w:r>
    </w:p>
    <w:p w14:paraId="00000005" w14:textId="77777777" w:rsidR="002E373F" w:rsidRPr="00196F7A" w:rsidRDefault="00AC2EAF" w:rsidP="00D6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Exercise rate: 5% (shareholders receive VND 500 for every share they own)</w:t>
      </w:r>
    </w:p>
    <w:p w14:paraId="00000006" w14:textId="77777777" w:rsidR="002E373F" w:rsidRPr="00196F7A" w:rsidRDefault="00AC2EAF" w:rsidP="00D6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Payment date: Expected to be on July 05, 2024</w:t>
      </w:r>
    </w:p>
    <w:p w14:paraId="00000007" w14:textId="718596A9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Article 2: Authorize the Company's Executive Board to organize and direct the implementation of the Board Resolution, ensuring that the dividend payment is carried out in accordance with legal regulations.</w:t>
      </w:r>
    </w:p>
    <w:p w14:paraId="00000008" w14:textId="77777777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Article 3: Terms of enforcement</w:t>
      </w:r>
    </w:p>
    <w:p w14:paraId="00000009" w14:textId="77777777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Departments, units, and individuals involved are responsible for executing this Resolution in accordance with the law and the Company's Charter.</w:t>
      </w:r>
    </w:p>
    <w:p w14:paraId="0000000A" w14:textId="77777777" w:rsidR="002E373F" w:rsidRPr="00196F7A" w:rsidRDefault="00AC2EAF" w:rsidP="00D660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96F7A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2E373F" w:rsidRPr="00196F7A" w:rsidSect="002450A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CA9"/>
    <w:multiLevelType w:val="multilevel"/>
    <w:tmpl w:val="FEF6E2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F"/>
    <w:rsid w:val="00196F7A"/>
    <w:rsid w:val="002450AB"/>
    <w:rsid w:val="002E373F"/>
    <w:rsid w:val="00A9776A"/>
    <w:rsid w:val="00AC2EAF"/>
    <w:rsid w:val="00D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C9B1"/>
  <w15:docId w15:val="{E70B77BB-E522-4C31-BF16-CEF4152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14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i/>
      <w:iCs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I1UyOh60XjXHJO3CqCsG9S694Q==">CgMxLjA4AHIhMVJGRFFGc25jMWZiVnNCTlozdHNYTkk3Rnd0X3R2cU44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2024-06-10T03:17:00Z</dcterms:created>
  <dcterms:modified xsi:type="dcterms:W3CDTF">2024-06-11T03:07:00Z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06186c8f1d5c7c5784730ac4ed1814d059bfbc2f9f3ca82049f5157f438c0609</vt:lpwstr>
  </property>
</Properties>
</file>