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65E18" w:rsidRPr="00EE1A59" w:rsidRDefault="003678D5" w:rsidP="007E187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EE1A59">
        <w:rPr>
          <w:rFonts w:ascii="Arial" w:hAnsi="Arial" w:cs="Arial"/>
          <w:b/>
          <w:color w:val="010000"/>
          <w:sz w:val="20"/>
        </w:rPr>
        <w:t>MTG: Board Resolution</w:t>
      </w:r>
    </w:p>
    <w:p w14:paraId="00000002" w14:textId="03387A16" w:rsidR="00165E18" w:rsidRPr="00EE1A59" w:rsidRDefault="003678D5" w:rsidP="007E187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hAnsi="Arial" w:cs="Arial"/>
          <w:color w:val="010000"/>
          <w:sz w:val="20"/>
        </w:rPr>
        <w:t>On June 6, 2024, MT Gas Joint Stock Company announced Resolution No. 08/</w:t>
      </w:r>
      <w:r w:rsidR="0042095C" w:rsidRPr="00EE1A59">
        <w:rPr>
          <w:rFonts w:ascii="Arial" w:hAnsi="Arial" w:cs="Arial"/>
          <w:color w:val="010000"/>
          <w:sz w:val="20"/>
        </w:rPr>
        <w:t>2024/</w:t>
      </w:r>
      <w:r w:rsidRPr="00EE1A59">
        <w:rPr>
          <w:rFonts w:ascii="Arial" w:hAnsi="Arial" w:cs="Arial"/>
          <w:color w:val="010000"/>
          <w:sz w:val="20"/>
        </w:rPr>
        <w:t xml:space="preserve">NQ/HDQTMTG on the granting of credit and use of collateral for credit at </w:t>
      </w:r>
      <w:r w:rsidR="0042095C" w:rsidRPr="00EE1A59">
        <w:rPr>
          <w:rFonts w:ascii="Arial" w:hAnsi="Arial" w:cs="Arial"/>
          <w:color w:val="010000"/>
          <w:sz w:val="20"/>
        </w:rPr>
        <w:t>Vietnam Maritime Commercial Joint Stock Bank</w:t>
      </w:r>
      <w:r w:rsidRPr="00EE1A59">
        <w:rPr>
          <w:rFonts w:ascii="Arial" w:hAnsi="Arial" w:cs="Arial"/>
          <w:color w:val="010000"/>
          <w:sz w:val="20"/>
        </w:rPr>
        <w:t xml:space="preserve"> as follows:</w:t>
      </w:r>
    </w:p>
    <w:p w14:paraId="00000003" w14:textId="457E902C" w:rsidR="00165E18" w:rsidRPr="00EE1A59" w:rsidRDefault="0042095C" w:rsidP="007E187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hAnsi="Arial" w:cs="Arial"/>
          <w:color w:val="010000"/>
          <w:sz w:val="20"/>
        </w:rPr>
        <w:t>Article</w:t>
      </w:r>
      <w:r w:rsidR="003678D5" w:rsidRPr="00EE1A59">
        <w:rPr>
          <w:rFonts w:ascii="Arial" w:hAnsi="Arial" w:cs="Arial"/>
          <w:color w:val="010000"/>
          <w:sz w:val="20"/>
        </w:rPr>
        <w:t xml:space="preserve"> 1. Approve the application for </w:t>
      </w:r>
      <w:r w:rsidRPr="00EE1A59">
        <w:rPr>
          <w:rFonts w:ascii="Arial" w:hAnsi="Arial" w:cs="Arial"/>
          <w:color w:val="010000"/>
          <w:sz w:val="20"/>
        </w:rPr>
        <w:t xml:space="preserve">granting of </w:t>
      </w:r>
      <w:r w:rsidR="003678D5" w:rsidRPr="00EE1A59">
        <w:rPr>
          <w:rFonts w:ascii="Arial" w:hAnsi="Arial" w:cs="Arial"/>
          <w:color w:val="010000"/>
          <w:sz w:val="20"/>
        </w:rPr>
        <w:t xml:space="preserve">credit at Vietnam Maritime Commercial Joint Stock Bank - Cong Hoa Branch (Ha Noi City) (MSB) with an amount of VND 50,000,000,000 or equivalent foreign currency for the purpose of supplementing working capital/issuing L/C guarantee for the company's production and business activities, specifically: </w:t>
      </w:r>
    </w:p>
    <w:p w14:paraId="00000004" w14:textId="77777777" w:rsidR="00165E18" w:rsidRPr="00EE1A59" w:rsidRDefault="003678D5" w:rsidP="007E1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25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hAnsi="Arial" w:cs="Arial"/>
          <w:color w:val="010000"/>
          <w:sz w:val="20"/>
        </w:rPr>
        <w:t xml:space="preserve">Short-term loan limit, amount: VND 50,000,000,000 </w:t>
      </w:r>
    </w:p>
    <w:p w14:paraId="00000005" w14:textId="77777777" w:rsidR="00165E18" w:rsidRPr="00EE1A59" w:rsidRDefault="003678D5" w:rsidP="007E1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25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hAnsi="Arial" w:cs="Arial"/>
          <w:color w:val="010000"/>
          <w:sz w:val="20"/>
        </w:rPr>
        <w:t xml:space="preserve">Bank guarantee limit, amount: VND 50,000,000,000 </w:t>
      </w:r>
    </w:p>
    <w:p w14:paraId="00000006" w14:textId="77777777" w:rsidR="00165E18" w:rsidRPr="00EE1A59" w:rsidRDefault="003678D5" w:rsidP="007E18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  <w:tab w:val="left" w:pos="1259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hAnsi="Arial" w:cs="Arial"/>
          <w:color w:val="010000"/>
          <w:sz w:val="20"/>
        </w:rPr>
        <w:t xml:space="preserve">L/C issuance limit, amount: VND 50,000,000,000 </w:t>
      </w:r>
    </w:p>
    <w:p w14:paraId="00000007" w14:textId="4DAA3AF2" w:rsidR="00165E18" w:rsidRPr="00EE1A59" w:rsidRDefault="003678D5" w:rsidP="007E187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hAnsi="Arial" w:cs="Arial"/>
          <w:color w:val="010000"/>
          <w:sz w:val="20"/>
        </w:rPr>
        <w:t xml:space="preserve">Article 2. Appoint Mr. Nguyen Anh Tu as </w:t>
      </w:r>
      <w:r w:rsidR="0042095C" w:rsidRPr="00EE1A59">
        <w:rPr>
          <w:rFonts w:ascii="Arial" w:hAnsi="Arial" w:cs="Arial"/>
          <w:color w:val="010000"/>
          <w:sz w:val="20"/>
        </w:rPr>
        <w:t xml:space="preserve">the </w:t>
      </w:r>
      <w:r w:rsidRPr="00EE1A59">
        <w:rPr>
          <w:rFonts w:ascii="Arial" w:hAnsi="Arial" w:cs="Arial"/>
          <w:color w:val="010000"/>
          <w:sz w:val="20"/>
        </w:rPr>
        <w:t xml:space="preserve">General Manager of MT Gas Joint Stock Company, representing the company to carry out credit transactions with MSB, decide on all related issues and sign credit limit contracts, loan </w:t>
      </w:r>
      <w:r w:rsidR="0042095C" w:rsidRPr="00EE1A59">
        <w:rPr>
          <w:rFonts w:ascii="Arial" w:hAnsi="Arial" w:cs="Arial"/>
          <w:color w:val="010000"/>
          <w:sz w:val="20"/>
        </w:rPr>
        <w:t>contracts</w:t>
      </w:r>
      <w:r w:rsidRPr="00EE1A59">
        <w:rPr>
          <w:rFonts w:ascii="Arial" w:hAnsi="Arial" w:cs="Arial"/>
          <w:color w:val="010000"/>
          <w:sz w:val="20"/>
        </w:rPr>
        <w:t xml:space="preserve">, guarantee </w:t>
      </w:r>
      <w:r w:rsidR="0042095C" w:rsidRPr="00EE1A59">
        <w:rPr>
          <w:rFonts w:ascii="Arial" w:hAnsi="Arial" w:cs="Arial"/>
          <w:color w:val="010000"/>
          <w:sz w:val="20"/>
        </w:rPr>
        <w:t>contracts</w:t>
      </w:r>
      <w:r w:rsidRPr="00EE1A59">
        <w:rPr>
          <w:rFonts w:ascii="Arial" w:hAnsi="Arial" w:cs="Arial"/>
          <w:color w:val="010000"/>
          <w:sz w:val="20"/>
        </w:rPr>
        <w:t xml:space="preserve"> (</w:t>
      </w:r>
      <w:r w:rsidR="0042095C" w:rsidRPr="00EE1A59">
        <w:rPr>
          <w:rFonts w:ascii="Arial" w:hAnsi="Arial" w:cs="Arial"/>
          <w:color w:val="010000"/>
          <w:sz w:val="20"/>
        </w:rPr>
        <w:t>Agreements</w:t>
      </w:r>
      <w:r w:rsidRPr="00EE1A59">
        <w:rPr>
          <w:rFonts w:ascii="Arial" w:hAnsi="Arial" w:cs="Arial"/>
          <w:color w:val="010000"/>
          <w:sz w:val="20"/>
        </w:rPr>
        <w:t xml:space="preserve">), discount </w:t>
      </w:r>
      <w:r w:rsidR="0042095C" w:rsidRPr="00EE1A59">
        <w:rPr>
          <w:rFonts w:ascii="Arial" w:hAnsi="Arial" w:cs="Arial"/>
          <w:color w:val="010000"/>
          <w:sz w:val="20"/>
        </w:rPr>
        <w:t>contracts</w:t>
      </w:r>
      <w:r w:rsidRPr="00EE1A59">
        <w:rPr>
          <w:rFonts w:ascii="Arial" w:hAnsi="Arial" w:cs="Arial"/>
          <w:color w:val="010000"/>
          <w:sz w:val="20"/>
        </w:rPr>
        <w:t xml:space="preserve">, credit card issuance and usage contract. Request to issue </w:t>
      </w:r>
      <w:r w:rsidR="008B378B" w:rsidRPr="00EE1A59">
        <w:rPr>
          <w:rFonts w:ascii="Arial" w:hAnsi="Arial" w:cs="Arial"/>
          <w:color w:val="010000"/>
          <w:sz w:val="20"/>
        </w:rPr>
        <w:t xml:space="preserve">the </w:t>
      </w:r>
      <w:r w:rsidR="0042095C" w:rsidRPr="00EE1A59">
        <w:rPr>
          <w:rFonts w:ascii="Arial" w:hAnsi="Arial" w:cs="Arial"/>
          <w:color w:val="010000"/>
          <w:sz w:val="20"/>
        </w:rPr>
        <w:t>letter of credit</w:t>
      </w:r>
      <w:r w:rsidR="008B378B" w:rsidRPr="00EE1A59">
        <w:rPr>
          <w:rFonts w:ascii="Arial" w:hAnsi="Arial" w:cs="Arial"/>
          <w:color w:val="010000"/>
          <w:sz w:val="20"/>
        </w:rPr>
        <w:t>, request to issue guarantee-cum-</w:t>
      </w:r>
      <w:r w:rsidRPr="00EE1A59">
        <w:rPr>
          <w:rFonts w:ascii="Arial" w:hAnsi="Arial" w:cs="Arial"/>
          <w:color w:val="010000"/>
          <w:sz w:val="20"/>
        </w:rPr>
        <w:t xml:space="preserve">transaction confirmation, loan guarantee contract, debt agreement (Debt Acknowledgment) and documents related to the credit application </w:t>
      </w:r>
      <w:r w:rsidR="008B378B" w:rsidRPr="00EE1A59">
        <w:rPr>
          <w:rFonts w:ascii="Arial" w:hAnsi="Arial" w:cs="Arial"/>
          <w:color w:val="010000"/>
          <w:sz w:val="20"/>
        </w:rPr>
        <w:t>above-mentioned</w:t>
      </w:r>
      <w:r w:rsidRPr="00EE1A59">
        <w:rPr>
          <w:rFonts w:ascii="Arial" w:hAnsi="Arial" w:cs="Arial"/>
          <w:color w:val="010000"/>
          <w:sz w:val="20"/>
        </w:rPr>
        <w:t xml:space="preserve"> use.</w:t>
      </w:r>
    </w:p>
    <w:p w14:paraId="00000008" w14:textId="546153EA" w:rsidR="00165E18" w:rsidRPr="00EE1A59" w:rsidRDefault="003678D5" w:rsidP="007E187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hAnsi="Arial" w:cs="Arial"/>
          <w:color w:val="010000"/>
          <w:sz w:val="20"/>
        </w:rPr>
        <w:t xml:space="preserve">Article 3. Approve MSB to have the right to automatically deduct money from the company's account at MSB and at other credit institutions to fulfill obligations due under </w:t>
      </w:r>
      <w:r w:rsidR="008B378B" w:rsidRPr="00EE1A59">
        <w:rPr>
          <w:rFonts w:ascii="Arial" w:hAnsi="Arial" w:cs="Arial"/>
          <w:color w:val="010000"/>
          <w:sz w:val="20"/>
        </w:rPr>
        <w:t>the off-balance sheet commitment</w:t>
      </w:r>
      <w:r w:rsidRPr="00EE1A59">
        <w:rPr>
          <w:rFonts w:ascii="Arial" w:hAnsi="Arial" w:cs="Arial"/>
          <w:color w:val="010000"/>
          <w:sz w:val="20"/>
        </w:rPr>
        <w:t xml:space="preserve"> or to recover principal, interest, fees</w:t>
      </w:r>
      <w:r w:rsidR="008B378B" w:rsidRPr="00EE1A59">
        <w:rPr>
          <w:rFonts w:ascii="Arial" w:hAnsi="Arial" w:cs="Arial"/>
          <w:color w:val="010000"/>
          <w:sz w:val="20"/>
        </w:rPr>
        <w:t>,</w:t>
      </w:r>
      <w:r w:rsidRPr="00EE1A59">
        <w:rPr>
          <w:rFonts w:ascii="Arial" w:hAnsi="Arial" w:cs="Arial"/>
          <w:color w:val="010000"/>
          <w:sz w:val="20"/>
        </w:rPr>
        <w:t xml:space="preserve"> and expenses payable without the company's approval. Agree to use the deposit as a guarantee for the Company's credit obligations at MSB only when the Company completes its credit obligations, and at the same time authorize MSB to transfer </w:t>
      </w:r>
      <w:r w:rsidR="008B378B" w:rsidRPr="00EE1A59">
        <w:rPr>
          <w:rFonts w:ascii="Arial" w:hAnsi="Arial" w:cs="Arial"/>
          <w:color w:val="010000"/>
          <w:sz w:val="20"/>
        </w:rPr>
        <w:t xml:space="preserve">the escrow amount to implement </w:t>
      </w:r>
      <w:r w:rsidRPr="00EE1A59">
        <w:rPr>
          <w:rFonts w:ascii="Arial" w:hAnsi="Arial" w:cs="Arial"/>
          <w:color w:val="010000"/>
          <w:sz w:val="20"/>
        </w:rPr>
        <w:t>the credit obligations when due.</w:t>
      </w:r>
    </w:p>
    <w:p w14:paraId="00000009" w14:textId="60C7E40C" w:rsidR="00165E18" w:rsidRPr="00EE1A59" w:rsidRDefault="003678D5" w:rsidP="007E187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hAnsi="Arial" w:cs="Arial"/>
          <w:color w:val="010000"/>
          <w:sz w:val="20"/>
        </w:rPr>
      </w:pPr>
      <w:r w:rsidRPr="00EE1A59">
        <w:rPr>
          <w:rFonts w:ascii="Arial" w:hAnsi="Arial" w:cs="Arial"/>
          <w:color w:val="010000"/>
          <w:sz w:val="20"/>
        </w:rPr>
        <w:t>Article 4. Approve the content of using the following collateral to secure credits at MSB, specifically:</w:t>
      </w:r>
    </w:p>
    <w:p w14:paraId="15421D19" w14:textId="05FEFF46" w:rsidR="008B378B" w:rsidRPr="00EE1A59" w:rsidRDefault="008B378B" w:rsidP="007E187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contextualSpacing w:val="0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eastAsia="Arial" w:hAnsi="Arial" w:cs="Arial"/>
          <w:color w:val="010000"/>
          <w:sz w:val="20"/>
          <w:szCs w:val="20"/>
        </w:rPr>
        <w:t>Deposits on payment/escrow accounts, savings books/cards/deposit certificates/deposit contracts of the company or</w:t>
      </w:r>
      <w:r w:rsidR="008F318A" w:rsidRPr="00EE1A59">
        <w:rPr>
          <w:rFonts w:ascii="Arial" w:eastAsia="Arial" w:hAnsi="Arial" w:cs="Arial"/>
          <w:color w:val="010000"/>
          <w:sz w:val="20"/>
          <w:szCs w:val="20"/>
        </w:rPr>
        <w:t xml:space="preserve"> a third party accepted by MSB for each period.</w:t>
      </w:r>
    </w:p>
    <w:p w14:paraId="24630C58" w14:textId="44BE4641" w:rsidR="008B378B" w:rsidRPr="00EE1A59" w:rsidRDefault="008B378B" w:rsidP="007E187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eastAsia="Arial" w:hAnsi="Arial" w:cs="Arial"/>
          <w:color w:val="010000"/>
          <w:sz w:val="20"/>
          <w:szCs w:val="20"/>
        </w:rPr>
        <w:t xml:space="preserve">Article 5. Members of the Board of Directors, </w:t>
      </w:r>
      <w:r w:rsidR="008F318A" w:rsidRPr="00EE1A59">
        <w:rPr>
          <w:rFonts w:ascii="Arial" w:eastAsia="Arial" w:hAnsi="Arial" w:cs="Arial"/>
          <w:color w:val="010000"/>
          <w:sz w:val="20"/>
          <w:szCs w:val="20"/>
        </w:rPr>
        <w:t xml:space="preserve">the </w:t>
      </w:r>
      <w:r w:rsidRPr="00EE1A59">
        <w:rPr>
          <w:rFonts w:ascii="Arial" w:eastAsia="Arial" w:hAnsi="Arial" w:cs="Arial"/>
          <w:color w:val="010000"/>
          <w:sz w:val="20"/>
          <w:szCs w:val="20"/>
        </w:rPr>
        <w:t xml:space="preserve">General </w:t>
      </w:r>
      <w:r w:rsidR="008F318A" w:rsidRPr="00EE1A59">
        <w:rPr>
          <w:rFonts w:ascii="Arial" w:eastAsia="Arial" w:hAnsi="Arial" w:cs="Arial"/>
          <w:color w:val="010000"/>
          <w:sz w:val="20"/>
          <w:szCs w:val="20"/>
        </w:rPr>
        <w:t>Manager</w:t>
      </w:r>
      <w:r w:rsidRPr="00EE1A59">
        <w:rPr>
          <w:rFonts w:ascii="Arial" w:eastAsia="Arial" w:hAnsi="Arial" w:cs="Arial"/>
          <w:color w:val="010000"/>
          <w:sz w:val="20"/>
          <w:szCs w:val="20"/>
        </w:rPr>
        <w:t xml:space="preserve"> and relevant individuals of </w:t>
      </w:r>
      <w:r w:rsidR="008F318A" w:rsidRPr="00EE1A59">
        <w:rPr>
          <w:rFonts w:ascii="Arial" w:eastAsia="Arial" w:hAnsi="Arial" w:cs="Arial"/>
          <w:color w:val="010000"/>
          <w:sz w:val="20"/>
          <w:szCs w:val="20"/>
        </w:rPr>
        <w:t>MT Gas Joint Stock Company</w:t>
      </w:r>
      <w:r w:rsidRPr="00EE1A59">
        <w:rPr>
          <w:rFonts w:ascii="Arial" w:eastAsia="Arial" w:hAnsi="Arial" w:cs="Arial"/>
          <w:color w:val="010000"/>
          <w:sz w:val="20"/>
          <w:szCs w:val="20"/>
        </w:rPr>
        <w:t xml:space="preserve"> are responsible for implementing this </w:t>
      </w:r>
      <w:r w:rsidR="008F318A" w:rsidRPr="00EE1A59">
        <w:rPr>
          <w:rFonts w:ascii="Arial" w:eastAsia="Arial" w:hAnsi="Arial" w:cs="Arial"/>
          <w:color w:val="010000"/>
          <w:sz w:val="20"/>
          <w:szCs w:val="20"/>
        </w:rPr>
        <w:t>Resolution</w:t>
      </w:r>
      <w:r w:rsidRPr="00EE1A59">
        <w:rPr>
          <w:rFonts w:ascii="Arial" w:eastAsia="Arial" w:hAnsi="Arial" w:cs="Arial"/>
          <w:color w:val="010000"/>
          <w:sz w:val="20"/>
          <w:szCs w:val="20"/>
        </w:rPr>
        <w:t>.</w:t>
      </w:r>
    </w:p>
    <w:p w14:paraId="6F8480DD" w14:textId="1360F0FB" w:rsidR="008B378B" w:rsidRPr="00EE1A59" w:rsidRDefault="008B378B" w:rsidP="007E187E">
      <w:pPr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EE1A59">
        <w:rPr>
          <w:rFonts w:ascii="Arial" w:eastAsia="Arial" w:hAnsi="Arial" w:cs="Arial"/>
          <w:color w:val="010000"/>
          <w:sz w:val="20"/>
          <w:szCs w:val="20"/>
        </w:rPr>
        <w:t>Article 6. The Resolution takes effect from the date of signing.</w:t>
      </w:r>
    </w:p>
    <w:sectPr w:rsidR="008B378B" w:rsidRPr="00EE1A59" w:rsidSect="007E187E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319FB"/>
    <w:multiLevelType w:val="multilevel"/>
    <w:tmpl w:val="C12A221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18"/>
    <w:rsid w:val="000C71C1"/>
    <w:rsid w:val="00165E18"/>
    <w:rsid w:val="003678D5"/>
    <w:rsid w:val="0042095C"/>
    <w:rsid w:val="00597876"/>
    <w:rsid w:val="007E187E"/>
    <w:rsid w:val="008B378B"/>
    <w:rsid w:val="008F318A"/>
    <w:rsid w:val="00B81E8C"/>
    <w:rsid w:val="00E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7A91C"/>
  <w15:docId w15:val="{BDEB92CA-85AF-45C8-BD97-77C9F134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64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spacing w:line="26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B13C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/avXQc1DhfWnbsVf7nG2PY5WjQ==">CgMxLjA4AHIhMW44MWNTTzNaNmlNNE5KMkgzQU92RWdZdndaZDl4Z1lr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2024-06-11T03:14:00Z</dcterms:created>
  <dcterms:modified xsi:type="dcterms:W3CDTF">2024-06-11T03:14:00Z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5bd3389f3761fea6bca8313b9d9f45a47d806c73fff369e94b5f4c87265187e8</vt:lpwstr>
  </property>
</Properties>
</file>