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3DFF2" w14:textId="77777777" w:rsidR="00CB5AD2" w:rsidRPr="00217832" w:rsidRDefault="002E6500" w:rsidP="00DF5786">
      <w:pPr>
        <w:pBdr>
          <w:top w:val="nil"/>
          <w:left w:val="nil"/>
          <w:bottom w:val="nil"/>
          <w:right w:val="nil"/>
          <w:between w:val="nil"/>
        </w:pBdr>
        <w:tabs>
          <w:tab w:val="left" w:pos="432"/>
          <w:tab w:val="left" w:pos="1206"/>
        </w:tabs>
        <w:spacing w:after="120" w:line="360" w:lineRule="auto"/>
        <w:jc w:val="both"/>
        <w:rPr>
          <w:rFonts w:ascii="Arial" w:eastAsia="Arial" w:hAnsi="Arial" w:cs="Arial"/>
          <w:b/>
          <w:color w:val="010000"/>
          <w:sz w:val="20"/>
          <w:szCs w:val="20"/>
        </w:rPr>
      </w:pPr>
      <w:r w:rsidRPr="00217832">
        <w:rPr>
          <w:rFonts w:ascii="Arial" w:hAnsi="Arial" w:cs="Arial"/>
          <w:b/>
          <w:color w:val="010000"/>
          <w:sz w:val="20"/>
        </w:rPr>
        <w:t>THN: Annual General Mandate 2024</w:t>
      </w:r>
    </w:p>
    <w:p w14:paraId="657301A8" w14:textId="77777777" w:rsidR="00CB5AD2" w:rsidRPr="00217832" w:rsidRDefault="002E6500" w:rsidP="00DF5786">
      <w:pPr>
        <w:pBdr>
          <w:top w:val="nil"/>
          <w:left w:val="nil"/>
          <w:bottom w:val="nil"/>
          <w:right w:val="nil"/>
          <w:between w:val="nil"/>
        </w:pBdr>
        <w:tabs>
          <w:tab w:val="left" w:pos="432"/>
          <w:tab w:val="left" w:pos="1206"/>
        </w:tabs>
        <w:spacing w:after="120" w:line="360" w:lineRule="auto"/>
        <w:jc w:val="both"/>
        <w:rPr>
          <w:rFonts w:ascii="Arial" w:eastAsia="Arial" w:hAnsi="Arial" w:cs="Arial"/>
          <w:color w:val="010000"/>
          <w:sz w:val="20"/>
          <w:szCs w:val="20"/>
        </w:rPr>
      </w:pPr>
      <w:r w:rsidRPr="00217832">
        <w:rPr>
          <w:rFonts w:ascii="Arial" w:hAnsi="Arial" w:cs="Arial"/>
          <w:color w:val="010000"/>
          <w:sz w:val="20"/>
        </w:rPr>
        <w:t xml:space="preserve">On June 04, 2024, Thanh Hoa Water Supply Joint Stock Company announced Annual General Mandate No. 23/NQ-DHDCD as follows: </w:t>
      </w:r>
    </w:p>
    <w:p w14:paraId="08137376" w14:textId="77777777" w:rsidR="00CB5AD2" w:rsidRPr="00217832" w:rsidRDefault="002E6500" w:rsidP="00DF5786">
      <w:pPr>
        <w:numPr>
          <w:ilvl w:val="0"/>
          <w:numId w:val="6"/>
        </w:numPr>
        <w:pBdr>
          <w:top w:val="nil"/>
          <w:left w:val="nil"/>
          <w:bottom w:val="nil"/>
          <w:right w:val="nil"/>
          <w:between w:val="nil"/>
        </w:pBdr>
        <w:tabs>
          <w:tab w:val="left" w:pos="432"/>
          <w:tab w:val="left" w:pos="1362"/>
        </w:tabs>
        <w:spacing w:after="120" w:line="360" w:lineRule="auto"/>
        <w:jc w:val="both"/>
        <w:rPr>
          <w:rFonts w:ascii="Arial" w:eastAsia="Arial" w:hAnsi="Arial" w:cs="Arial"/>
          <w:color w:val="010000"/>
          <w:sz w:val="20"/>
          <w:szCs w:val="20"/>
        </w:rPr>
      </w:pPr>
      <w:r w:rsidRPr="00217832">
        <w:rPr>
          <w:rFonts w:ascii="Arial" w:hAnsi="Arial" w:cs="Arial"/>
          <w:color w:val="010000"/>
          <w:sz w:val="20"/>
        </w:rPr>
        <w:t xml:space="preserve">Approve Report on the production and business results 2023 and production and business targets and missions 2024 of the Executive Board. </w:t>
      </w:r>
    </w:p>
    <w:p w14:paraId="6D4118C8" w14:textId="77777777" w:rsidR="00CB5AD2" w:rsidRPr="003E2147" w:rsidRDefault="002E6500" w:rsidP="00DF5786">
      <w:pPr>
        <w:pBdr>
          <w:top w:val="nil"/>
          <w:left w:val="nil"/>
          <w:bottom w:val="nil"/>
          <w:right w:val="nil"/>
          <w:between w:val="nil"/>
        </w:pBdr>
        <w:tabs>
          <w:tab w:val="left" w:pos="432"/>
          <w:tab w:val="left" w:pos="1362"/>
        </w:tabs>
        <w:spacing w:after="120" w:line="360" w:lineRule="auto"/>
        <w:jc w:val="both"/>
        <w:rPr>
          <w:rFonts w:ascii="Arial" w:eastAsia="Arial" w:hAnsi="Arial" w:cs="Arial"/>
          <w:color w:val="010000"/>
          <w:sz w:val="20"/>
          <w:szCs w:val="20"/>
        </w:rPr>
      </w:pPr>
      <w:bookmarkStart w:id="0" w:name="_GoBack"/>
      <w:bookmarkEnd w:id="0"/>
      <w:r w:rsidRPr="003E2147">
        <w:rPr>
          <w:rFonts w:ascii="Arial" w:hAnsi="Arial" w:cs="Arial"/>
          <w:color w:val="010000"/>
          <w:sz w:val="20"/>
        </w:rPr>
        <w:t>Production and business Results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0"/>
        <w:gridCol w:w="2499"/>
        <w:gridCol w:w="1750"/>
        <w:gridCol w:w="1621"/>
        <w:gridCol w:w="1685"/>
        <w:gridCol w:w="1102"/>
      </w:tblGrid>
      <w:tr w:rsidR="00CB5AD2" w:rsidRPr="003E2147" w14:paraId="32898BE5" w14:textId="77777777" w:rsidTr="001C6CEA">
        <w:tc>
          <w:tcPr>
            <w:tcW w:w="216" w:type="pct"/>
            <w:shd w:val="clear" w:color="auto" w:fill="auto"/>
            <w:vAlign w:val="center"/>
          </w:tcPr>
          <w:p w14:paraId="7560A338"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No.</w:t>
            </w:r>
          </w:p>
        </w:tc>
        <w:tc>
          <w:tcPr>
            <w:tcW w:w="1381" w:type="pct"/>
            <w:shd w:val="clear" w:color="auto" w:fill="auto"/>
            <w:vAlign w:val="center"/>
          </w:tcPr>
          <w:p w14:paraId="17629135"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Targets</w:t>
            </w:r>
          </w:p>
        </w:tc>
        <w:tc>
          <w:tcPr>
            <w:tcW w:w="967" w:type="pct"/>
            <w:shd w:val="clear" w:color="auto" w:fill="auto"/>
            <w:vAlign w:val="center"/>
          </w:tcPr>
          <w:p w14:paraId="3B696D74"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Unit</w:t>
            </w:r>
          </w:p>
        </w:tc>
        <w:tc>
          <w:tcPr>
            <w:tcW w:w="896" w:type="pct"/>
            <w:shd w:val="clear" w:color="auto" w:fill="auto"/>
            <w:vAlign w:val="center"/>
          </w:tcPr>
          <w:p w14:paraId="5698D4C1"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General Mandate in 2023</w:t>
            </w:r>
          </w:p>
        </w:tc>
        <w:tc>
          <w:tcPr>
            <w:tcW w:w="931" w:type="pct"/>
            <w:shd w:val="clear" w:color="auto" w:fill="auto"/>
            <w:vAlign w:val="center"/>
          </w:tcPr>
          <w:p w14:paraId="4026D33E"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Results 2023</w:t>
            </w:r>
          </w:p>
        </w:tc>
        <w:tc>
          <w:tcPr>
            <w:tcW w:w="609" w:type="pct"/>
            <w:shd w:val="clear" w:color="auto" w:fill="auto"/>
            <w:vAlign w:val="center"/>
          </w:tcPr>
          <w:p w14:paraId="2C82D747"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 xml:space="preserve">Comparison with the General Mandate (%) </w:t>
            </w:r>
          </w:p>
        </w:tc>
      </w:tr>
      <w:tr w:rsidR="00CB5AD2" w:rsidRPr="003E2147" w14:paraId="5FEADBD7" w14:textId="77777777" w:rsidTr="001C6CEA">
        <w:tc>
          <w:tcPr>
            <w:tcW w:w="216" w:type="pct"/>
            <w:shd w:val="clear" w:color="auto" w:fill="auto"/>
            <w:vAlign w:val="center"/>
          </w:tcPr>
          <w:p w14:paraId="61C8A682"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1</w:t>
            </w:r>
          </w:p>
        </w:tc>
        <w:tc>
          <w:tcPr>
            <w:tcW w:w="1381" w:type="pct"/>
            <w:shd w:val="clear" w:color="auto" w:fill="auto"/>
            <w:vAlign w:val="center"/>
          </w:tcPr>
          <w:p w14:paraId="69A8ACA7" w14:textId="77777777" w:rsidR="00CB5AD2" w:rsidRPr="003E2147" w:rsidRDefault="002E6500" w:rsidP="001C6C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E2147">
              <w:rPr>
                <w:rFonts w:ascii="Arial" w:hAnsi="Arial" w:cs="Arial"/>
                <w:color w:val="010000"/>
                <w:sz w:val="20"/>
              </w:rPr>
              <w:t>Water products</w:t>
            </w:r>
          </w:p>
        </w:tc>
        <w:tc>
          <w:tcPr>
            <w:tcW w:w="967" w:type="pct"/>
            <w:shd w:val="clear" w:color="auto" w:fill="auto"/>
            <w:vAlign w:val="center"/>
          </w:tcPr>
          <w:p w14:paraId="06F4844C"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m3</w:t>
            </w:r>
          </w:p>
        </w:tc>
        <w:tc>
          <w:tcPr>
            <w:tcW w:w="896" w:type="pct"/>
            <w:shd w:val="clear" w:color="auto" w:fill="auto"/>
            <w:vAlign w:val="center"/>
          </w:tcPr>
          <w:p w14:paraId="6D841439"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38,943,558</w:t>
            </w:r>
          </w:p>
        </w:tc>
        <w:tc>
          <w:tcPr>
            <w:tcW w:w="931" w:type="pct"/>
            <w:shd w:val="clear" w:color="auto" w:fill="auto"/>
            <w:vAlign w:val="center"/>
          </w:tcPr>
          <w:p w14:paraId="7F08CCE2"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40,031,557</w:t>
            </w:r>
          </w:p>
        </w:tc>
        <w:tc>
          <w:tcPr>
            <w:tcW w:w="609" w:type="pct"/>
            <w:shd w:val="clear" w:color="auto" w:fill="auto"/>
            <w:vAlign w:val="center"/>
          </w:tcPr>
          <w:p w14:paraId="0FA8F5D0"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102.8%</w:t>
            </w:r>
          </w:p>
        </w:tc>
      </w:tr>
      <w:tr w:rsidR="00CB5AD2" w:rsidRPr="003E2147" w14:paraId="66EF9046" w14:textId="77777777" w:rsidTr="001C6CEA">
        <w:tc>
          <w:tcPr>
            <w:tcW w:w="216" w:type="pct"/>
            <w:shd w:val="clear" w:color="auto" w:fill="auto"/>
            <w:vAlign w:val="center"/>
          </w:tcPr>
          <w:p w14:paraId="5000B88C"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2</w:t>
            </w:r>
          </w:p>
        </w:tc>
        <w:tc>
          <w:tcPr>
            <w:tcW w:w="1381" w:type="pct"/>
            <w:shd w:val="clear" w:color="auto" w:fill="auto"/>
            <w:vAlign w:val="center"/>
          </w:tcPr>
          <w:p w14:paraId="46B4ACD9" w14:textId="77777777" w:rsidR="00CB5AD2" w:rsidRPr="003E2147" w:rsidRDefault="002E6500" w:rsidP="001C6C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E2147">
              <w:rPr>
                <w:rFonts w:ascii="Arial" w:hAnsi="Arial" w:cs="Arial"/>
                <w:color w:val="010000"/>
                <w:sz w:val="20"/>
              </w:rPr>
              <w:t>Revenue and income</w:t>
            </w:r>
          </w:p>
        </w:tc>
        <w:tc>
          <w:tcPr>
            <w:tcW w:w="967" w:type="pct"/>
            <w:shd w:val="clear" w:color="auto" w:fill="auto"/>
            <w:vAlign w:val="center"/>
          </w:tcPr>
          <w:p w14:paraId="1C57E071"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Million VND</w:t>
            </w:r>
          </w:p>
        </w:tc>
        <w:tc>
          <w:tcPr>
            <w:tcW w:w="896" w:type="pct"/>
            <w:shd w:val="clear" w:color="auto" w:fill="auto"/>
            <w:vAlign w:val="center"/>
          </w:tcPr>
          <w:p w14:paraId="724A2032"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415,228</w:t>
            </w:r>
          </w:p>
        </w:tc>
        <w:tc>
          <w:tcPr>
            <w:tcW w:w="931" w:type="pct"/>
            <w:shd w:val="clear" w:color="auto" w:fill="auto"/>
            <w:vAlign w:val="center"/>
          </w:tcPr>
          <w:p w14:paraId="20C21381"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431,808</w:t>
            </w:r>
          </w:p>
        </w:tc>
        <w:tc>
          <w:tcPr>
            <w:tcW w:w="609" w:type="pct"/>
            <w:shd w:val="clear" w:color="auto" w:fill="auto"/>
            <w:vAlign w:val="center"/>
          </w:tcPr>
          <w:p w14:paraId="507300B9"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104.0%</w:t>
            </w:r>
          </w:p>
        </w:tc>
      </w:tr>
      <w:tr w:rsidR="00CB5AD2" w:rsidRPr="003E2147" w14:paraId="52B3F33C" w14:textId="77777777" w:rsidTr="001C6CEA">
        <w:tc>
          <w:tcPr>
            <w:tcW w:w="216" w:type="pct"/>
            <w:shd w:val="clear" w:color="auto" w:fill="auto"/>
            <w:vAlign w:val="center"/>
          </w:tcPr>
          <w:p w14:paraId="0F7EA9D2"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3</w:t>
            </w:r>
          </w:p>
        </w:tc>
        <w:tc>
          <w:tcPr>
            <w:tcW w:w="1381" w:type="pct"/>
            <w:shd w:val="clear" w:color="auto" w:fill="auto"/>
            <w:vAlign w:val="center"/>
          </w:tcPr>
          <w:p w14:paraId="09458F58" w14:textId="77777777" w:rsidR="00CB5AD2" w:rsidRPr="003E2147" w:rsidRDefault="002E6500" w:rsidP="001C6C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E2147">
              <w:rPr>
                <w:rFonts w:ascii="Arial" w:hAnsi="Arial" w:cs="Arial"/>
                <w:color w:val="010000"/>
                <w:sz w:val="20"/>
              </w:rPr>
              <w:t>Loss rate</w:t>
            </w:r>
          </w:p>
        </w:tc>
        <w:tc>
          <w:tcPr>
            <w:tcW w:w="967" w:type="pct"/>
            <w:shd w:val="clear" w:color="auto" w:fill="auto"/>
            <w:vAlign w:val="center"/>
          </w:tcPr>
          <w:p w14:paraId="4C98E355"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w:t>
            </w:r>
          </w:p>
        </w:tc>
        <w:tc>
          <w:tcPr>
            <w:tcW w:w="896" w:type="pct"/>
            <w:shd w:val="clear" w:color="auto" w:fill="auto"/>
            <w:vAlign w:val="center"/>
          </w:tcPr>
          <w:p w14:paraId="20560ED8"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17.36</w:t>
            </w:r>
          </w:p>
        </w:tc>
        <w:tc>
          <w:tcPr>
            <w:tcW w:w="931" w:type="pct"/>
            <w:shd w:val="clear" w:color="auto" w:fill="auto"/>
            <w:vAlign w:val="center"/>
          </w:tcPr>
          <w:p w14:paraId="20843B94"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16.9</w:t>
            </w:r>
          </w:p>
        </w:tc>
        <w:tc>
          <w:tcPr>
            <w:tcW w:w="609" w:type="pct"/>
            <w:shd w:val="clear" w:color="auto" w:fill="auto"/>
            <w:vAlign w:val="center"/>
          </w:tcPr>
          <w:p w14:paraId="0BEE5EB5"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- 0.46%</w:t>
            </w:r>
          </w:p>
        </w:tc>
      </w:tr>
      <w:tr w:rsidR="00CB5AD2" w:rsidRPr="003E2147" w14:paraId="4836CA66" w14:textId="77777777" w:rsidTr="001C6CEA">
        <w:tc>
          <w:tcPr>
            <w:tcW w:w="216" w:type="pct"/>
            <w:shd w:val="clear" w:color="auto" w:fill="auto"/>
            <w:vAlign w:val="center"/>
          </w:tcPr>
          <w:p w14:paraId="5C872873"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4</w:t>
            </w:r>
          </w:p>
        </w:tc>
        <w:tc>
          <w:tcPr>
            <w:tcW w:w="1381" w:type="pct"/>
            <w:shd w:val="clear" w:color="auto" w:fill="auto"/>
            <w:vAlign w:val="center"/>
          </w:tcPr>
          <w:p w14:paraId="4827B3F2" w14:textId="77777777" w:rsidR="00CB5AD2" w:rsidRPr="003E2147" w:rsidRDefault="002E6500" w:rsidP="001C6C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E2147">
              <w:rPr>
                <w:rFonts w:ascii="Arial" w:hAnsi="Arial" w:cs="Arial"/>
                <w:color w:val="010000"/>
                <w:sz w:val="20"/>
              </w:rPr>
              <w:t>Customer development</w:t>
            </w:r>
          </w:p>
        </w:tc>
        <w:tc>
          <w:tcPr>
            <w:tcW w:w="967" w:type="pct"/>
            <w:shd w:val="clear" w:color="auto" w:fill="auto"/>
            <w:vAlign w:val="center"/>
          </w:tcPr>
          <w:p w14:paraId="362F2188"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Household</w:t>
            </w:r>
          </w:p>
        </w:tc>
        <w:tc>
          <w:tcPr>
            <w:tcW w:w="896" w:type="pct"/>
            <w:shd w:val="clear" w:color="auto" w:fill="auto"/>
            <w:vAlign w:val="center"/>
          </w:tcPr>
          <w:p w14:paraId="49263759"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10,221</w:t>
            </w:r>
          </w:p>
        </w:tc>
        <w:tc>
          <w:tcPr>
            <w:tcW w:w="931" w:type="pct"/>
            <w:shd w:val="clear" w:color="auto" w:fill="auto"/>
            <w:vAlign w:val="center"/>
          </w:tcPr>
          <w:p w14:paraId="5A261C1C"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11,356</w:t>
            </w:r>
          </w:p>
        </w:tc>
        <w:tc>
          <w:tcPr>
            <w:tcW w:w="609" w:type="pct"/>
            <w:shd w:val="clear" w:color="auto" w:fill="auto"/>
            <w:vAlign w:val="center"/>
          </w:tcPr>
          <w:p w14:paraId="031142A8"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111.0%</w:t>
            </w:r>
          </w:p>
        </w:tc>
      </w:tr>
      <w:tr w:rsidR="00CB5AD2" w:rsidRPr="003E2147" w14:paraId="19436174" w14:textId="77777777" w:rsidTr="001C6CEA">
        <w:tc>
          <w:tcPr>
            <w:tcW w:w="216" w:type="pct"/>
            <w:shd w:val="clear" w:color="auto" w:fill="auto"/>
            <w:vAlign w:val="center"/>
          </w:tcPr>
          <w:p w14:paraId="78FF7AB4"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5</w:t>
            </w:r>
          </w:p>
        </w:tc>
        <w:tc>
          <w:tcPr>
            <w:tcW w:w="1381" w:type="pct"/>
            <w:shd w:val="clear" w:color="auto" w:fill="auto"/>
            <w:vAlign w:val="center"/>
          </w:tcPr>
          <w:p w14:paraId="7C133F74" w14:textId="77777777" w:rsidR="00CB5AD2" w:rsidRPr="003E2147" w:rsidRDefault="002E6500" w:rsidP="001C6C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E2147">
              <w:rPr>
                <w:rFonts w:ascii="Arial" w:hAnsi="Arial" w:cs="Arial"/>
                <w:color w:val="010000"/>
                <w:sz w:val="20"/>
              </w:rPr>
              <w:t>Payables and dividends paid to the State budget</w:t>
            </w:r>
          </w:p>
        </w:tc>
        <w:tc>
          <w:tcPr>
            <w:tcW w:w="967" w:type="pct"/>
            <w:shd w:val="clear" w:color="auto" w:fill="auto"/>
            <w:vAlign w:val="center"/>
          </w:tcPr>
          <w:p w14:paraId="09762CEC"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Million VND</w:t>
            </w:r>
          </w:p>
        </w:tc>
        <w:tc>
          <w:tcPr>
            <w:tcW w:w="896" w:type="pct"/>
            <w:shd w:val="clear" w:color="auto" w:fill="auto"/>
            <w:vAlign w:val="center"/>
          </w:tcPr>
          <w:p w14:paraId="15A5FCE1"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40,000</w:t>
            </w:r>
          </w:p>
        </w:tc>
        <w:tc>
          <w:tcPr>
            <w:tcW w:w="931" w:type="pct"/>
            <w:shd w:val="clear" w:color="auto" w:fill="auto"/>
            <w:vAlign w:val="center"/>
          </w:tcPr>
          <w:p w14:paraId="1BE2FE7C"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74,024</w:t>
            </w:r>
          </w:p>
        </w:tc>
        <w:tc>
          <w:tcPr>
            <w:tcW w:w="609" w:type="pct"/>
            <w:shd w:val="clear" w:color="auto" w:fill="auto"/>
            <w:vAlign w:val="center"/>
          </w:tcPr>
          <w:p w14:paraId="6E499E1B"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185.0%</w:t>
            </w:r>
          </w:p>
        </w:tc>
      </w:tr>
      <w:tr w:rsidR="00CB5AD2" w:rsidRPr="003E2147" w14:paraId="62C8ACF4" w14:textId="77777777" w:rsidTr="001C6CEA">
        <w:tc>
          <w:tcPr>
            <w:tcW w:w="216" w:type="pct"/>
            <w:shd w:val="clear" w:color="auto" w:fill="auto"/>
            <w:vAlign w:val="center"/>
          </w:tcPr>
          <w:p w14:paraId="48FE6B7E"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6</w:t>
            </w:r>
          </w:p>
        </w:tc>
        <w:tc>
          <w:tcPr>
            <w:tcW w:w="1381" w:type="pct"/>
            <w:shd w:val="clear" w:color="auto" w:fill="auto"/>
            <w:vAlign w:val="center"/>
          </w:tcPr>
          <w:p w14:paraId="636E9E22" w14:textId="77777777" w:rsidR="00CB5AD2" w:rsidRPr="003E2147" w:rsidRDefault="002E6500" w:rsidP="001C6C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E2147">
              <w:rPr>
                <w:rFonts w:ascii="Arial" w:hAnsi="Arial" w:cs="Arial"/>
                <w:color w:val="010000"/>
                <w:sz w:val="20"/>
              </w:rPr>
              <w:t>Profit before tax</w:t>
            </w:r>
          </w:p>
        </w:tc>
        <w:tc>
          <w:tcPr>
            <w:tcW w:w="967" w:type="pct"/>
            <w:shd w:val="clear" w:color="auto" w:fill="auto"/>
            <w:vAlign w:val="center"/>
          </w:tcPr>
          <w:p w14:paraId="25B564A1"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Million VND</w:t>
            </w:r>
          </w:p>
        </w:tc>
        <w:tc>
          <w:tcPr>
            <w:tcW w:w="896" w:type="pct"/>
            <w:shd w:val="clear" w:color="auto" w:fill="auto"/>
            <w:vAlign w:val="center"/>
          </w:tcPr>
          <w:p w14:paraId="3AE24C01"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40,500</w:t>
            </w:r>
          </w:p>
        </w:tc>
        <w:tc>
          <w:tcPr>
            <w:tcW w:w="931" w:type="pct"/>
            <w:shd w:val="clear" w:color="auto" w:fill="auto"/>
            <w:vAlign w:val="center"/>
          </w:tcPr>
          <w:p w14:paraId="168AA233"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60,609</w:t>
            </w:r>
          </w:p>
        </w:tc>
        <w:tc>
          <w:tcPr>
            <w:tcW w:w="609" w:type="pct"/>
            <w:shd w:val="clear" w:color="auto" w:fill="auto"/>
            <w:vAlign w:val="center"/>
          </w:tcPr>
          <w:p w14:paraId="5F7D3E37"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149.6%</w:t>
            </w:r>
          </w:p>
        </w:tc>
      </w:tr>
      <w:tr w:rsidR="00CB5AD2" w:rsidRPr="003E2147" w14:paraId="2277601A" w14:textId="77777777" w:rsidTr="001C6CEA">
        <w:tc>
          <w:tcPr>
            <w:tcW w:w="216" w:type="pct"/>
            <w:shd w:val="clear" w:color="auto" w:fill="auto"/>
            <w:vAlign w:val="center"/>
          </w:tcPr>
          <w:p w14:paraId="479FF8D6"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7</w:t>
            </w:r>
          </w:p>
        </w:tc>
        <w:tc>
          <w:tcPr>
            <w:tcW w:w="1381" w:type="pct"/>
            <w:shd w:val="clear" w:color="auto" w:fill="auto"/>
            <w:vAlign w:val="center"/>
          </w:tcPr>
          <w:p w14:paraId="5F1A0EAB" w14:textId="77777777" w:rsidR="00CB5AD2" w:rsidRPr="003E2147" w:rsidRDefault="002E6500" w:rsidP="001C6C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E2147">
              <w:rPr>
                <w:rFonts w:ascii="Arial" w:hAnsi="Arial" w:cs="Arial"/>
                <w:color w:val="010000"/>
                <w:sz w:val="20"/>
              </w:rPr>
              <w:t>Average income</w:t>
            </w:r>
          </w:p>
        </w:tc>
        <w:tc>
          <w:tcPr>
            <w:tcW w:w="967" w:type="pct"/>
            <w:shd w:val="clear" w:color="auto" w:fill="auto"/>
            <w:vAlign w:val="center"/>
          </w:tcPr>
          <w:p w14:paraId="05B1A9AA"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VND/Person/Month</w:t>
            </w:r>
          </w:p>
        </w:tc>
        <w:tc>
          <w:tcPr>
            <w:tcW w:w="896" w:type="pct"/>
            <w:shd w:val="clear" w:color="auto" w:fill="auto"/>
            <w:vAlign w:val="center"/>
          </w:tcPr>
          <w:p w14:paraId="0BC695AF"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10,045,000</w:t>
            </w:r>
          </w:p>
        </w:tc>
        <w:tc>
          <w:tcPr>
            <w:tcW w:w="931" w:type="pct"/>
            <w:shd w:val="clear" w:color="auto" w:fill="auto"/>
            <w:vAlign w:val="center"/>
          </w:tcPr>
          <w:p w14:paraId="5C691385"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11,640,000</w:t>
            </w:r>
          </w:p>
        </w:tc>
        <w:tc>
          <w:tcPr>
            <w:tcW w:w="609" w:type="pct"/>
            <w:shd w:val="clear" w:color="auto" w:fill="auto"/>
            <w:vAlign w:val="center"/>
          </w:tcPr>
          <w:p w14:paraId="461EB0F4"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115.8%</w:t>
            </w:r>
          </w:p>
        </w:tc>
      </w:tr>
      <w:tr w:rsidR="00CB5AD2" w:rsidRPr="003E2147" w14:paraId="70BE37BA" w14:textId="77777777" w:rsidTr="001C6CEA">
        <w:tc>
          <w:tcPr>
            <w:tcW w:w="216" w:type="pct"/>
            <w:shd w:val="clear" w:color="auto" w:fill="auto"/>
            <w:vAlign w:val="center"/>
          </w:tcPr>
          <w:p w14:paraId="58AE88A8"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8</w:t>
            </w:r>
          </w:p>
        </w:tc>
        <w:tc>
          <w:tcPr>
            <w:tcW w:w="1381" w:type="pct"/>
            <w:shd w:val="clear" w:color="auto" w:fill="auto"/>
            <w:vAlign w:val="center"/>
          </w:tcPr>
          <w:p w14:paraId="3ABD6C40" w14:textId="77777777" w:rsidR="00CB5AD2" w:rsidRPr="003E2147" w:rsidRDefault="002E6500" w:rsidP="001C6C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E2147">
              <w:rPr>
                <w:rFonts w:ascii="Arial" w:hAnsi="Arial" w:cs="Arial"/>
                <w:color w:val="010000"/>
                <w:sz w:val="20"/>
              </w:rPr>
              <w:t>Dividend</w:t>
            </w:r>
          </w:p>
        </w:tc>
        <w:tc>
          <w:tcPr>
            <w:tcW w:w="967" w:type="pct"/>
            <w:shd w:val="clear" w:color="auto" w:fill="auto"/>
            <w:vAlign w:val="center"/>
          </w:tcPr>
          <w:p w14:paraId="0FEE9737"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w:t>
            </w:r>
          </w:p>
        </w:tc>
        <w:tc>
          <w:tcPr>
            <w:tcW w:w="896" w:type="pct"/>
            <w:shd w:val="clear" w:color="auto" w:fill="auto"/>
            <w:vAlign w:val="center"/>
          </w:tcPr>
          <w:p w14:paraId="4F2BC2CA"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6.87</w:t>
            </w:r>
          </w:p>
        </w:tc>
        <w:tc>
          <w:tcPr>
            <w:tcW w:w="931" w:type="pct"/>
            <w:shd w:val="clear" w:color="auto" w:fill="auto"/>
            <w:vAlign w:val="center"/>
          </w:tcPr>
          <w:p w14:paraId="5CDCA6DB"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10.09</w:t>
            </w:r>
          </w:p>
        </w:tc>
        <w:tc>
          <w:tcPr>
            <w:tcW w:w="609" w:type="pct"/>
            <w:shd w:val="clear" w:color="auto" w:fill="auto"/>
            <w:vAlign w:val="center"/>
          </w:tcPr>
          <w:p w14:paraId="17FA19D8" w14:textId="77777777" w:rsidR="00CB5AD2" w:rsidRPr="003E2147" w:rsidRDefault="002E6500" w:rsidP="001C6CE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2147">
              <w:rPr>
                <w:rFonts w:ascii="Arial" w:hAnsi="Arial" w:cs="Arial"/>
                <w:color w:val="010000"/>
                <w:sz w:val="20"/>
              </w:rPr>
              <w:t>146.8%</w:t>
            </w:r>
          </w:p>
        </w:tc>
      </w:tr>
    </w:tbl>
    <w:p w14:paraId="4C6CC69E" w14:textId="77777777" w:rsidR="00CB5AD2" w:rsidRPr="003E2147" w:rsidRDefault="002E6500" w:rsidP="00956F9D">
      <w:pPr>
        <w:pBdr>
          <w:top w:val="nil"/>
          <w:left w:val="nil"/>
          <w:bottom w:val="nil"/>
          <w:right w:val="nil"/>
          <w:between w:val="nil"/>
        </w:pBdr>
        <w:tabs>
          <w:tab w:val="left" w:pos="432"/>
          <w:tab w:val="left" w:pos="1362"/>
        </w:tabs>
        <w:spacing w:after="120" w:line="360" w:lineRule="auto"/>
        <w:jc w:val="both"/>
        <w:rPr>
          <w:rFonts w:ascii="Arial" w:eastAsia="Arial" w:hAnsi="Arial" w:cs="Arial"/>
          <w:color w:val="010000"/>
          <w:sz w:val="20"/>
          <w:szCs w:val="20"/>
        </w:rPr>
      </w:pPr>
      <w:r w:rsidRPr="003E2147">
        <w:rPr>
          <w:rFonts w:ascii="Arial" w:hAnsi="Arial" w:cs="Arial"/>
          <w:color w:val="010000"/>
          <w:sz w:val="20"/>
        </w:rPr>
        <w:t>Business plan in 2024:</w:t>
      </w:r>
    </w:p>
    <w:p w14:paraId="040C728B" w14:textId="77777777" w:rsidR="00CB5AD2" w:rsidRPr="003E2147" w:rsidRDefault="002E6500" w:rsidP="00956F9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E2147">
        <w:rPr>
          <w:rFonts w:ascii="Arial" w:hAnsi="Arial" w:cs="Arial"/>
          <w:color w:val="010000"/>
          <w:sz w:val="20"/>
        </w:rPr>
        <w:t>Water products: 41,584,500 m3</w:t>
      </w:r>
    </w:p>
    <w:p w14:paraId="6C92FB7C" w14:textId="77777777" w:rsidR="00CB5AD2" w:rsidRPr="003E2147" w:rsidRDefault="002E6500" w:rsidP="00956F9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E2147">
        <w:rPr>
          <w:rFonts w:ascii="Arial" w:hAnsi="Arial" w:cs="Arial"/>
          <w:color w:val="010000"/>
          <w:sz w:val="20"/>
        </w:rPr>
        <w:t>Total revenue: VND 442.0 billion</w:t>
      </w:r>
    </w:p>
    <w:p w14:paraId="5DC6BEB4" w14:textId="77777777" w:rsidR="00CB5AD2" w:rsidRPr="003E2147" w:rsidRDefault="002E6500" w:rsidP="00956F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E2147">
        <w:rPr>
          <w:rFonts w:ascii="Arial" w:hAnsi="Arial" w:cs="Arial"/>
          <w:color w:val="010000"/>
          <w:sz w:val="20"/>
        </w:rPr>
        <w:t>Water bill: VND 428.0 billion</w:t>
      </w:r>
    </w:p>
    <w:p w14:paraId="2C8EE692" w14:textId="77777777" w:rsidR="00CB5AD2" w:rsidRPr="003E2147" w:rsidRDefault="002E6500" w:rsidP="00956F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E2147">
        <w:rPr>
          <w:rFonts w:ascii="Arial" w:hAnsi="Arial" w:cs="Arial"/>
          <w:color w:val="010000"/>
          <w:sz w:val="20"/>
        </w:rPr>
        <w:t>Construction and consultancy: VND 14.0 billion</w:t>
      </w:r>
    </w:p>
    <w:p w14:paraId="01302717" w14:textId="77777777" w:rsidR="00CB5AD2" w:rsidRPr="003E2147" w:rsidRDefault="002E6500" w:rsidP="00956F9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E2147">
        <w:rPr>
          <w:rFonts w:ascii="Arial" w:hAnsi="Arial" w:cs="Arial"/>
          <w:color w:val="010000"/>
          <w:sz w:val="20"/>
        </w:rPr>
        <w:t>Loss rate: 16.8%</w:t>
      </w:r>
    </w:p>
    <w:p w14:paraId="2F584BBD" w14:textId="77777777" w:rsidR="00CB5AD2" w:rsidRPr="003E2147" w:rsidRDefault="002E6500" w:rsidP="00956F9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E2147">
        <w:rPr>
          <w:rFonts w:ascii="Arial" w:hAnsi="Arial" w:cs="Arial"/>
          <w:color w:val="010000"/>
          <w:sz w:val="20"/>
        </w:rPr>
        <w:t>The rate of customers not using the Company’s water supply service:</w:t>
      </w:r>
      <w:r w:rsidR="007B010B" w:rsidRPr="003E2147">
        <w:rPr>
          <w:rFonts w:ascii="Arial" w:hAnsi="Arial" w:cs="Arial"/>
          <w:color w:val="010000"/>
          <w:sz w:val="20"/>
        </w:rPr>
        <w:t xml:space="preserve"> </w:t>
      </w:r>
      <w:r w:rsidRPr="003E2147">
        <w:rPr>
          <w:rFonts w:ascii="Arial" w:hAnsi="Arial" w:cs="Arial"/>
          <w:color w:val="010000"/>
          <w:sz w:val="20"/>
        </w:rPr>
        <w:t>8.0%</w:t>
      </w:r>
    </w:p>
    <w:p w14:paraId="695E55D8" w14:textId="77777777" w:rsidR="00CB5AD2" w:rsidRPr="003E2147" w:rsidRDefault="002E6500" w:rsidP="00956F9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E2147">
        <w:rPr>
          <w:rFonts w:ascii="Arial" w:hAnsi="Arial" w:cs="Arial"/>
          <w:color w:val="010000"/>
          <w:sz w:val="20"/>
        </w:rPr>
        <w:t>The rate of non-cash water payment: 40.0%</w:t>
      </w:r>
    </w:p>
    <w:p w14:paraId="6310300C" w14:textId="77777777" w:rsidR="00CB5AD2" w:rsidRPr="003E2147" w:rsidRDefault="002E6500" w:rsidP="00956F9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E2147">
        <w:rPr>
          <w:rFonts w:ascii="Arial" w:hAnsi="Arial" w:cs="Arial"/>
          <w:color w:val="010000"/>
          <w:sz w:val="20"/>
        </w:rPr>
        <w:t>Customer development: 8,567 households</w:t>
      </w:r>
    </w:p>
    <w:p w14:paraId="7F102628" w14:textId="77777777" w:rsidR="00CB5AD2" w:rsidRPr="003E2147" w:rsidRDefault="002E6500" w:rsidP="00956F9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E2147">
        <w:rPr>
          <w:rFonts w:ascii="Arial" w:hAnsi="Arial" w:cs="Arial"/>
          <w:color w:val="010000"/>
          <w:sz w:val="20"/>
        </w:rPr>
        <w:t>Payable to the State budget: VND 42.0 billion</w:t>
      </w:r>
    </w:p>
    <w:p w14:paraId="2994B8A8" w14:textId="77777777" w:rsidR="00CB5AD2" w:rsidRPr="003E2147" w:rsidRDefault="002E6500" w:rsidP="00956F9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E2147">
        <w:rPr>
          <w:rFonts w:ascii="Arial" w:hAnsi="Arial" w:cs="Arial"/>
          <w:color w:val="010000"/>
          <w:sz w:val="20"/>
        </w:rPr>
        <w:t>Profit: VND 42.5 billion</w:t>
      </w:r>
    </w:p>
    <w:p w14:paraId="497CBCB4" w14:textId="77777777" w:rsidR="00CB5AD2" w:rsidRPr="003E2147" w:rsidRDefault="002E6500" w:rsidP="00956F9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E2147">
        <w:rPr>
          <w:rFonts w:ascii="Arial" w:hAnsi="Arial" w:cs="Arial"/>
          <w:color w:val="010000"/>
          <w:sz w:val="20"/>
        </w:rPr>
        <w:t>Average income: VND 10,450,000/person/month</w:t>
      </w:r>
    </w:p>
    <w:p w14:paraId="51601DA8" w14:textId="77777777" w:rsidR="00CB5AD2" w:rsidRPr="00217832" w:rsidRDefault="002E6500" w:rsidP="00956F9D">
      <w:pPr>
        <w:numPr>
          <w:ilvl w:val="0"/>
          <w:numId w:val="6"/>
        </w:numPr>
        <w:pBdr>
          <w:top w:val="nil"/>
          <w:left w:val="nil"/>
          <w:bottom w:val="nil"/>
          <w:right w:val="nil"/>
          <w:between w:val="nil"/>
        </w:pBdr>
        <w:tabs>
          <w:tab w:val="left" w:pos="432"/>
          <w:tab w:val="left" w:pos="1353"/>
        </w:tabs>
        <w:spacing w:after="120" w:line="360" w:lineRule="auto"/>
        <w:jc w:val="both"/>
        <w:rPr>
          <w:rFonts w:ascii="Arial" w:eastAsia="Arial" w:hAnsi="Arial" w:cs="Arial"/>
          <w:color w:val="010000"/>
          <w:sz w:val="20"/>
          <w:szCs w:val="20"/>
        </w:rPr>
      </w:pPr>
      <w:r w:rsidRPr="00217832">
        <w:rPr>
          <w:rFonts w:ascii="Arial" w:hAnsi="Arial" w:cs="Arial"/>
          <w:color w:val="010000"/>
          <w:sz w:val="20"/>
        </w:rPr>
        <w:lastRenderedPageBreak/>
        <w:t>Approve Report on operational results 2023 and work plan 2024 of the Board of Directors.</w:t>
      </w:r>
      <w:r w:rsidR="007B010B" w:rsidRPr="00217832">
        <w:rPr>
          <w:rFonts w:ascii="Arial" w:hAnsi="Arial" w:cs="Arial"/>
          <w:color w:val="010000"/>
          <w:sz w:val="20"/>
        </w:rPr>
        <w:t xml:space="preserve"> </w:t>
      </w:r>
    </w:p>
    <w:p w14:paraId="6F5E8ED2" w14:textId="77777777" w:rsidR="00CB5AD2" w:rsidRPr="00217832" w:rsidRDefault="002E6500" w:rsidP="00956F9D">
      <w:pPr>
        <w:numPr>
          <w:ilvl w:val="0"/>
          <w:numId w:val="6"/>
        </w:numPr>
        <w:pBdr>
          <w:top w:val="nil"/>
          <w:left w:val="nil"/>
          <w:bottom w:val="nil"/>
          <w:right w:val="nil"/>
          <w:between w:val="nil"/>
        </w:pBdr>
        <w:tabs>
          <w:tab w:val="left" w:pos="432"/>
          <w:tab w:val="left" w:pos="1430"/>
        </w:tabs>
        <w:spacing w:after="120" w:line="360" w:lineRule="auto"/>
        <w:jc w:val="both"/>
        <w:rPr>
          <w:rFonts w:ascii="Arial" w:eastAsia="Arial" w:hAnsi="Arial" w:cs="Arial"/>
          <w:color w:val="010000"/>
          <w:sz w:val="20"/>
          <w:szCs w:val="20"/>
        </w:rPr>
      </w:pPr>
      <w:r w:rsidRPr="00217832">
        <w:rPr>
          <w:rFonts w:ascii="Arial" w:hAnsi="Arial" w:cs="Arial"/>
          <w:color w:val="010000"/>
          <w:sz w:val="20"/>
        </w:rPr>
        <w:t>Approve the evaluation report of the Supervisory Board on the results of inspection and supervision 2023 and the projected operational plan for 2024.</w:t>
      </w:r>
    </w:p>
    <w:p w14:paraId="1999F17F" w14:textId="77777777" w:rsidR="00CB5AD2" w:rsidRPr="00217832" w:rsidRDefault="002E6500" w:rsidP="00956F9D">
      <w:pPr>
        <w:numPr>
          <w:ilvl w:val="0"/>
          <w:numId w:val="6"/>
        </w:numPr>
        <w:pBdr>
          <w:top w:val="nil"/>
          <w:left w:val="nil"/>
          <w:bottom w:val="nil"/>
          <w:right w:val="nil"/>
          <w:between w:val="nil"/>
        </w:pBdr>
        <w:tabs>
          <w:tab w:val="left" w:pos="432"/>
          <w:tab w:val="left" w:pos="1358"/>
        </w:tabs>
        <w:spacing w:after="120" w:line="360" w:lineRule="auto"/>
        <w:jc w:val="both"/>
        <w:rPr>
          <w:rFonts w:ascii="Arial" w:eastAsia="Arial" w:hAnsi="Arial" w:cs="Arial"/>
          <w:color w:val="010000"/>
          <w:sz w:val="20"/>
          <w:szCs w:val="20"/>
        </w:rPr>
      </w:pPr>
      <w:r w:rsidRPr="00217832">
        <w:rPr>
          <w:rFonts w:ascii="Arial" w:hAnsi="Arial" w:cs="Arial"/>
          <w:color w:val="010000"/>
          <w:sz w:val="20"/>
        </w:rPr>
        <w:t>Approve the audited Financial Statements in 2023, including:</w:t>
      </w:r>
    </w:p>
    <w:p w14:paraId="41D25B7F" w14:textId="77777777" w:rsidR="00CB5AD2" w:rsidRPr="00217832" w:rsidRDefault="002E6500" w:rsidP="00956F9D">
      <w:pPr>
        <w:numPr>
          <w:ilvl w:val="0"/>
          <w:numId w:val="5"/>
        </w:numPr>
        <w:pBdr>
          <w:top w:val="nil"/>
          <w:left w:val="nil"/>
          <w:bottom w:val="nil"/>
          <w:right w:val="nil"/>
          <w:between w:val="nil"/>
        </w:pBdr>
        <w:tabs>
          <w:tab w:val="left" w:pos="432"/>
          <w:tab w:val="left" w:pos="1252"/>
        </w:tabs>
        <w:spacing w:after="120" w:line="360" w:lineRule="auto"/>
        <w:jc w:val="both"/>
        <w:rPr>
          <w:rFonts w:ascii="Arial" w:eastAsia="Arial" w:hAnsi="Arial" w:cs="Arial"/>
          <w:color w:val="010000"/>
          <w:sz w:val="20"/>
          <w:szCs w:val="20"/>
        </w:rPr>
      </w:pPr>
      <w:r w:rsidRPr="00217832">
        <w:rPr>
          <w:rFonts w:ascii="Arial" w:hAnsi="Arial" w:cs="Arial"/>
          <w:color w:val="010000"/>
          <w:sz w:val="20"/>
        </w:rPr>
        <w:t>Balance sheet on</w:t>
      </w:r>
      <w:r w:rsidR="007B010B" w:rsidRPr="00217832">
        <w:rPr>
          <w:rFonts w:ascii="Arial" w:hAnsi="Arial" w:cs="Arial"/>
          <w:color w:val="010000"/>
          <w:sz w:val="20"/>
        </w:rPr>
        <w:t xml:space="preserve"> </w:t>
      </w:r>
      <w:r w:rsidRPr="00217832">
        <w:rPr>
          <w:rFonts w:ascii="Arial" w:hAnsi="Arial" w:cs="Arial"/>
          <w:color w:val="010000"/>
          <w:sz w:val="20"/>
        </w:rPr>
        <w:t xml:space="preserve">December 31, 2023. </w:t>
      </w:r>
    </w:p>
    <w:p w14:paraId="3E0CE01E" w14:textId="77777777" w:rsidR="00CB5AD2" w:rsidRPr="00217832" w:rsidRDefault="002E6500" w:rsidP="00956F9D">
      <w:pPr>
        <w:numPr>
          <w:ilvl w:val="0"/>
          <w:numId w:val="5"/>
        </w:numPr>
        <w:pBdr>
          <w:top w:val="nil"/>
          <w:left w:val="nil"/>
          <w:bottom w:val="nil"/>
          <w:right w:val="nil"/>
          <w:between w:val="nil"/>
        </w:pBdr>
        <w:tabs>
          <w:tab w:val="left" w:pos="432"/>
          <w:tab w:val="left" w:pos="1252"/>
        </w:tabs>
        <w:spacing w:after="120" w:line="360" w:lineRule="auto"/>
        <w:jc w:val="both"/>
        <w:rPr>
          <w:rFonts w:ascii="Arial" w:eastAsia="Arial" w:hAnsi="Arial" w:cs="Arial"/>
          <w:color w:val="010000"/>
          <w:sz w:val="20"/>
          <w:szCs w:val="20"/>
        </w:rPr>
      </w:pPr>
      <w:r w:rsidRPr="00217832">
        <w:rPr>
          <w:rFonts w:ascii="Arial" w:hAnsi="Arial" w:cs="Arial"/>
          <w:color w:val="010000"/>
          <w:sz w:val="20"/>
        </w:rPr>
        <w:t>Income statement 2023</w:t>
      </w:r>
    </w:p>
    <w:p w14:paraId="0EFEB598" w14:textId="77777777" w:rsidR="00CB5AD2" w:rsidRPr="00217832" w:rsidRDefault="002E6500" w:rsidP="00956F9D">
      <w:pPr>
        <w:numPr>
          <w:ilvl w:val="0"/>
          <w:numId w:val="5"/>
        </w:numPr>
        <w:pBdr>
          <w:top w:val="nil"/>
          <w:left w:val="nil"/>
          <w:bottom w:val="nil"/>
          <w:right w:val="nil"/>
          <w:between w:val="nil"/>
        </w:pBdr>
        <w:tabs>
          <w:tab w:val="left" w:pos="432"/>
          <w:tab w:val="left" w:pos="1252"/>
        </w:tabs>
        <w:spacing w:after="120" w:line="360" w:lineRule="auto"/>
        <w:jc w:val="both"/>
        <w:rPr>
          <w:rFonts w:ascii="Arial" w:eastAsia="Arial" w:hAnsi="Arial" w:cs="Arial"/>
          <w:color w:val="010000"/>
          <w:sz w:val="20"/>
          <w:szCs w:val="20"/>
        </w:rPr>
      </w:pPr>
      <w:r w:rsidRPr="00217832">
        <w:rPr>
          <w:rFonts w:ascii="Arial" w:hAnsi="Arial" w:cs="Arial"/>
          <w:color w:val="010000"/>
          <w:sz w:val="20"/>
        </w:rPr>
        <w:t>Cash Flow Statement 2023</w:t>
      </w:r>
    </w:p>
    <w:p w14:paraId="5C8941C3" w14:textId="77777777" w:rsidR="00CB5AD2" w:rsidRPr="00217832" w:rsidRDefault="002E6500" w:rsidP="00956F9D">
      <w:pPr>
        <w:numPr>
          <w:ilvl w:val="0"/>
          <w:numId w:val="6"/>
        </w:numPr>
        <w:pBdr>
          <w:top w:val="nil"/>
          <w:left w:val="nil"/>
          <w:bottom w:val="nil"/>
          <w:right w:val="nil"/>
          <w:between w:val="nil"/>
        </w:pBdr>
        <w:tabs>
          <w:tab w:val="left" w:pos="432"/>
          <w:tab w:val="left" w:pos="1372"/>
        </w:tabs>
        <w:spacing w:after="120" w:line="360" w:lineRule="auto"/>
        <w:jc w:val="both"/>
        <w:rPr>
          <w:rFonts w:ascii="Arial" w:eastAsia="Arial" w:hAnsi="Arial" w:cs="Arial"/>
          <w:color w:val="010000"/>
          <w:sz w:val="20"/>
          <w:szCs w:val="20"/>
        </w:rPr>
      </w:pPr>
      <w:r w:rsidRPr="00217832">
        <w:rPr>
          <w:rFonts w:ascii="Arial" w:hAnsi="Arial" w:cs="Arial"/>
          <w:color w:val="010000"/>
          <w:sz w:val="20"/>
        </w:rPr>
        <w:t>Approve the Plan on profit distribution and dividend payment 2023; the dividend rate 2024 as proposed by the Board of Directors as follows:</w:t>
      </w:r>
      <w:r w:rsidR="007B010B" w:rsidRPr="00217832">
        <w:rPr>
          <w:rFonts w:ascii="Arial" w:hAnsi="Arial" w:cs="Arial"/>
          <w:color w:val="010000"/>
          <w:sz w:val="20"/>
        </w:rPr>
        <w:t xml:space="preserve"> </w:t>
      </w:r>
    </w:p>
    <w:p w14:paraId="18ACC2DD" w14:textId="77777777" w:rsidR="00CB5AD2" w:rsidRPr="00217832" w:rsidRDefault="002E6500" w:rsidP="00956F9D">
      <w:pPr>
        <w:numPr>
          <w:ilvl w:val="0"/>
          <w:numId w:val="5"/>
        </w:numPr>
        <w:pBdr>
          <w:top w:val="nil"/>
          <w:left w:val="nil"/>
          <w:bottom w:val="nil"/>
          <w:right w:val="nil"/>
          <w:between w:val="nil"/>
        </w:pBdr>
        <w:tabs>
          <w:tab w:val="left" w:pos="432"/>
          <w:tab w:val="left" w:pos="1352"/>
        </w:tabs>
        <w:spacing w:after="120" w:line="360" w:lineRule="auto"/>
        <w:jc w:val="both"/>
        <w:rPr>
          <w:rFonts w:ascii="Arial" w:eastAsia="Arial" w:hAnsi="Arial" w:cs="Arial"/>
          <w:color w:val="010000"/>
          <w:sz w:val="20"/>
          <w:szCs w:val="20"/>
        </w:rPr>
      </w:pPr>
      <w:r w:rsidRPr="00217832">
        <w:rPr>
          <w:rFonts w:ascii="Arial" w:hAnsi="Arial" w:cs="Arial"/>
          <w:color w:val="010000"/>
          <w:sz w:val="20"/>
        </w:rPr>
        <w:t>The remaining profit after tax distributed in 2023:</w:t>
      </w:r>
      <w:r w:rsidR="007B010B" w:rsidRPr="00217832">
        <w:rPr>
          <w:rFonts w:ascii="Arial" w:hAnsi="Arial" w:cs="Arial"/>
          <w:color w:val="010000"/>
          <w:sz w:val="20"/>
        </w:rPr>
        <w:t xml:space="preserve"> </w:t>
      </w:r>
      <w:r w:rsidRPr="00217832">
        <w:rPr>
          <w:rFonts w:ascii="Arial" w:hAnsi="Arial" w:cs="Arial"/>
          <w:color w:val="010000"/>
          <w:sz w:val="20"/>
        </w:rPr>
        <w:t>VND 47,568,907,060; Appropriate for:</w:t>
      </w:r>
    </w:p>
    <w:p w14:paraId="36BC56C7" w14:textId="77777777" w:rsidR="00CB5AD2" w:rsidRPr="00217832" w:rsidRDefault="002E6500" w:rsidP="00956F9D">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7832">
        <w:rPr>
          <w:rFonts w:ascii="Arial" w:hAnsi="Arial" w:cs="Arial"/>
          <w:color w:val="010000"/>
          <w:sz w:val="20"/>
        </w:rPr>
        <w:t>15% for Investment and development fund: VND 7,135,336,059</w:t>
      </w:r>
    </w:p>
    <w:p w14:paraId="7259D67F" w14:textId="77777777" w:rsidR="00CB5AD2" w:rsidRPr="00217832" w:rsidRDefault="002E6500" w:rsidP="00956F9D">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7832">
        <w:rPr>
          <w:rFonts w:ascii="Arial" w:hAnsi="Arial" w:cs="Arial"/>
          <w:color w:val="010000"/>
          <w:sz w:val="20"/>
        </w:rPr>
        <w:t>15% for Bonus and welfare fund: VND 7,135,336,059</w:t>
      </w:r>
    </w:p>
    <w:p w14:paraId="7B86CDE7" w14:textId="77777777" w:rsidR="00CB5AD2" w:rsidRPr="00217832" w:rsidRDefault="002E6500" w:rsidP="00956F9D">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7832">
        <w:rPr>
          <w:rFonts w:ascii="Arial" w:hAnsi="Arial" w:cs="Arial"/>
          <w:color w:val="010000"/>
          <w:sz w:val="20"/>
        </w:rPr>
        <w:t>70% for dividend payment in cash: VND 33,298,234,942</w:t>
      </w:r>
    </w:p>
    <w:p w14:paraId="7D961C36" w14:textId="77777777" w:rsidR="00CB5AD2" w:rsidRPr="00217832" w:rsidRDefault="002E6500" w:rsidP="00956F9D">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7832">
        <w:rPr>
          <w:rFonts w:ascii="Arial" w:hAnsi="Arial" w:cs="Arial"/>
          <w:color w:val="010000"/>
          <w:sz w:val="20"/>
        </w:rPr>
        <w:t>Dividend rate in 2023: 10.09%/par value</w:t>
      </w:r>
    </w:p>
    <w:p w14:paraId="02C54938" w14:textId="77777777" w:rsidR="00CB5AD2" w:rsidRPr="00217832" w:rsidRDefault="002E6500" w:rsidP="00956F9D">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7832">
        <w:rPr>
          <w:rFonts w:ascii="Arial" w:hAnsi="Arial" w:cs="Arial"/>
          <w:color w:val="010000"/>
          <w:sz w:val="20"/>
        </w:rPr>
        <w:t>Expected dividend rate in 2024: 7.21%/par value.</w:t>
      </w:r>
    </w:p>
    <w:p w14:paraId="659697B9" w14:textId="77777777" w:rsidR="00CB5AD2" w:rsidRPr="00217832" w:rsidRDefault="002E6500" w:rsidP="00956F9D">
      <w:pPr>
        <w:numPr>
          <w:ilvl w:val="0"/>
          <w:numId w:val="6"/>
        </w:numPr>
        <w:pBdr>
          <w:top w:val="nil"/>
          <w:left w:val="nil"/>
          <w:bottom w:val="nil"/>
          <w:right w:val="nil"/>
          <w:between w:val="nil"/>
        </w:pBdr>
        <w:tabs>
          <w:tab w:val="left" w:pos="432"/>
          <w:tab w:val="left" w:pos="1453"/>
        </w:tabs>
        <w:spacing w:after="120" w:line="360" w:lineRule="auto"/>
        <w:jc w:val="both"/>
        <w:rPr>
          <w:rFonts w:ascii="Arial" w:eastAsia="Arial" w:hAnsi="Arial" w:cs="Arial"/>
          <w:color w:val="010000"/>
          <w:sz w:val="20"/>
          <w:szCs w:val="20"/>
        </w:rPr>
      </w:pPr>
      <w:r w:rsidRPr="00217832">
        <w:rPr>
          <w:rFonts w:ascii="Arial" w:hAnsi="Arial" w:cs="Arial"/>
          <w:color w:val="010000"/>
          <w:sz w:val="20"/>
        </w:rPr>
        <w:t>Approve remuneration for the Board of Directors and the Supervisory Board in 2024</w:t>
      </w:r>
    </w:p>
    <w:p w14:paraId="5D477EC2" w14:textId="77777777" w:rsidR="00CB5AD2" w:rsidRPr="00217832" w:rsidRDefault="002E6500" w:rsidP="00956F9D">
      <w:pPr>
        <w:numPr>
          <w:ilvl w:val="0"/>
          <w:numId w:val="5"/>
        </w:numPr>
        <w:pBdr>
          <w:top w:val="nil"/>
          <w:left w:val="nil"/>
          <w:bottom w:val="nil"/>
          <w:right w:val="nil"/>
          <w:between w:val="nil"/>
        </w:pBdr>
        <w:tabs>
          <w:tab w:val="left" w:pos="432"/>
          <w:tab w:val="left" w:pos="1165"/>
        </w:tabs>
        <w:spacing w:after="120" w:line="360" w:lineRule="auto"/>
        <w:jc w:val="both"/>
        <w:rPr>
          <w:rFonts w:ascii="Arial" w:eastAsia="Arial" w:hAnsi="Arial" w:cs="Arial"/>
          <w:color w:val="010000"/>
          <w:sz w:val="20"/>
          <w:szCs w:val="20"/>
        </w:rPr>
      </w:pPr>
      <w:r w:rsidRPr="00217832">
        <w:rPr>
          <w:rFonts w:ascii="Arial" w:hAnsi="Arial" w:cs="Arial"/>
          <w:color w:val="010000"/>
          <w:sz w:val="20"/>
        </w:rPr>
        <w:t xml:space="preserve">Salary of executive managers including (the Chair of the Board of Directors; members of the Board of Directors; the General Manager; the Deputy General Managers; the Chief of the Supervisory Board and the Chief Accountant) implemented according to Decree No. 53/2016/ND-CP dated June 13, 2016, and the business production results 2024 of the Company. </w:t>
      </w:r>
    </w:p>
    <w:p w14:paraId="1AD6AE32" w14:textId="77777777" w:rsidR="00CB5AD2" w:rsidRPr="00217832" w:rsidRDefault="002E6500" w:rsidP="00956F9D">
      <w:pPr>
        <w:numPr>
          <w:ilvl w:val="0"/>
          <w:numId w:val="5"/>
        </w:numPr>
        <w:pBdr>
          <w:top w:val="nil"/>
          <w:left w:val="nil"/>
          <w:bottom w:val="nil"/>
          <w:right w:val="nil"/>
          <w:between w:val="nil"/>
        </w:pBdr>
        <w:tabs>
          <w:tab w:val="left" w:pos="432"/>
          <w:tab w:val="left" w:pos="1167"/>
        </w:tabs>
        <w:spacing w:after="120" w:line="360" w:lineRule="auto"/>
        <w:jc w:val="both"/>
        <w:rPr>
          <w:rFonts w:ascii="Arial" w:eastAsia="Arial" w:hAnsi="Arial" w:cs="Arial"/>
          <w:color w:val="010000"/>
          <w:sz w:val="20"/>
          <w:szCs w:val="20"/>
        </w:rPr>
      </w:pPr>
      <w:r w:rsidRPr="00217832">
        <w:rPr>
          <w:rFonts w:ascii="Arial" w:hAnsi="Arial" w:cs="Arial"/>
          <w:color w:val="010000"/>
          <w:sz w:val="20"/>
        </w:rPr>
        <w:t>Remuneration of non-executive members of the Board of Directors: VND 3,000,000/person/month;</w:t>
      </w:r>
    </w:p>
    <w:p w14:paraId="38E58636" w14:textId="77777777" w:rsidR="00CB5AD2" w:rsidRPr="00217832" w:rsidRDefault="002E6500" w:rsidP="00956F9D">
      <w:pPr>
        <w:numPr>
          <w:ilvl w:val="0"/>
          <w:numId w:val="5"/>
        </w:numPr>
        <w:pBdr>
          <w:top w:val="nil"/>
          <w:left w:val="nil"/>
          <w:bottom w:val="nil"/>
          <w:right w:val="nil"/>
          <w:between w:val="nil"/>
        </w:pBdr>
        <w:tabs>
          <w:tab w:val="left" w:pos="432"/>
          <w:tab w:val="left" w:pos="1167"/>
        </w:tabs>
        <w:spacing w:after="120" w:line="360" w:lineRule="auto"/>
        <w:jc w:val="both"/>
        <w:rPr>
          <w:rFonts w:ascii="Arial" w:eastAsia="Arial" w:hAnsi="Arial" w:cs="Arial"/>
          <w:color w:val="010000"/>
          <w:sz w:val="20"/>
          <w:szCs w:val="20"/>
        </w:rPr>
      </w:pPr>
      <w:r w:rsidRPr="00217832">
        <w:rPr>
          <w:rFonts w:ascii="Arial" w:hAnsi="Arial" w:cs="Arial"/>
          <w:color w:val="010000"/>
          <w:sz w:val="20"/>
        </w:rPr>
        <w:t>Remuneration of non-executive members of the Supervisory Board: VND 2,000,000/person/month;</w:t>
      </w:r>
    </w:p>
    <w:p w14:paraId="585A9B7C" w14:textId="77777777" w:rsidR="00CB5AD2" w:rsidRPr="00217832" w:rsidRDefault="002E6500" w:rsidP="00956F9D">
      <w:pPr>
        <w:numPr>
          <w:ilvl w:val="0"/>
          <w:numId w:val="6"/>
        </w:numPr>
        <w:pBdr>
          <w:top w:val="nil"/>
          <w:left w:val="nil"/>
          <w:bottom w:val="nil"/>
          <w:right w:val="nil"/>
          <w:between w:val="nil"/>
        </w:pBdr>
        <w:tabs>
          <w:tab w:val="left" w:pos="432"/>
          <w:tab w:val="left" w:pos="1318"/>
        </w:tabs>
        <w:spacing w:after="120" w:line="360" w:lineRule="auto"/>
        <w:jc w:val="both"/>
        <w:rPr>
          <w:rFonts w:ascii="Arial" w:eastAsia="Arial" w:hAnsi="Arial" w:cs="Arial"/>
          <w:color w:val="010000"/>
          <w:sz w:val="20"/>
          <w:szCs w:val="20"/>
        </w:rPr>
      </w:pPr>
      <w:r w:rsidRPr="00217832">
        <w:rPr>
          <w:rFonts w:ascii="Arial" w:hAnsi="Arial" w:cs="Arial"/>
          <w:color w:val="010000"/>
          <w:sz w:val="20"/>
        </w:rPr>
        <w:t>Agree on the selection of</w:t>
      </w:r>
      <w:r w:rsidR="007B010B" w:rsidRPr="00217832">
        <w:rPr>
          <w:rFonts w:ascii="Arial" w:hAnsi="Arial" w:cs="Arial"/>
          <w:color w:val="010000"/>
          <w:sz w:val="20"/>
        </w:rPr>
        <w:t xml:space="preserve"> </w:t>
      </w:r>
      <w:r w:rsidRPr="00217832">
        <w:rPr>
          <w:rFonts w:ascii="Arial" w:hAnsi="Arial" w:cs="Arial"/>
          <w:color w:val="010000"/>
          <w:sz w:val="20"/>
        </w:rPr>
        <w:t>an audit company for the Financial Statements 2024: International Auditing Company Limited.</w:t>
      </w:r>
    </w:p>
    <w:p w14:paraId="270BC408" w14:textId="77777777" w:rsidR="00CB5AD2" w:rsidRPr="00217832" w:rsidRDefault="002E6500" w:rsidP="00956F9D">
      <w:pPr>
        <w:numPr>
          <w:ilvl w:val="0"/>
          <w:numId w:val="6"/>
        </w:numPr>
        <w:pBdr>
          <w:top w:val="nil"/>
          <w:left w:val="nil"/>
          <w:bottom w:val="nil"/>
          <w:right w:val="nil"/>
          <w:between w:val="nil"/>
        </w:pBdr>
        <w:tabs>
          <w:tab w:val="left" w:pos="432"/>
          <w:tab w:val="left" w:pos="1443"/>
        </w:tabs>
        <w:spacing w:after="120" w:line="360" w:lineRule="auto"/>
        <w:jc w:val="both"/>
        <w:rPr>
          <w:rFonts w:ascii="Arial" w:eastAsia="Arial" w:hAnsi="Arial" w:cs="Arial"/>
          <w:color w:val="010000"/>
          <w:sz w:val="20"/>
          <w:szCs w:val="20"/>
        </w:rPr>
      </w:pPr>
      <w:r w:rsidRPr="00217832">
        <w:rPr>
          <w:rFonts w:ascii="Arial" w:hAnsi="Arial" w:cs="Arial"/>
          <w:color w:val="010000"/>
          <w:sz w:val="20"/>
        </w:rPr>
        <w:t>The results of dismissing members of the Board of Directors, including the following individuals:</w:t>
      </w:r>
    </w:p>
    <w:p w14:paraId="096C3489" w14:textId="77777777" w:rsidR="00CB5AD2" w:rsidRPr="00217832" w:rsidRDefault="002E6500" w:rsidP="00956F9D">
      <w:pPr>
        <w:numPr>
          <w:ilvl w:val="0"/>
          <w:numId w:val="7"/>
        </w:numPr>
        <w:pBdr>
          <w:top w:val="nil"/>
          <w:left w:val="nil"/>
          <w:bottom w:val="nil"/>
          <w:right w:val="nil"/>
          <w:between w:val="nil"/>
        </w:pBdr>
        <w:tabs>
          <w:tab w:val="left" w:pos="432"/>
          <w:tab w:val="left" w:pos="1568"/>
        </w:tabs>
        <w:spacing w:after="120" w:line="360" w:lineRule="auto"/>
        <w:jc w:val="both"/>
        <w:rPr>
          <w:rFonts w:ascii="Arial" w:eastAsia="Arial" w:hAnsi="Arial" w:cs="Arial"/>
          <w:color w:val="010000"/>
          <w:sz w:val="20"/>
          <w:szCs w:val="20"/>
        </w:rPr>
      </w:pPr>
      <w:r w:rsidRPr="00217832">
        <w:rPr>
          <w:rFonts w:ascii="Arial" w:hAnsi="Arial" w:cs="Arial"/>
          <w:color w:val="010000"/>
          <w:sz w:val="20"/>
        </w:rPr>
        <w:t xml:space="preserve">Mr. Nguyen Huy Nam </w:t>
      </w:r>
    </w:p>
    <w:p w14:paraId="17282624" w14:textId="022E2EE7" w:rsidR="00CB5AD2" w:rsidRPr="00217832" w:rsidRDefault="002E6500" w:rsidP="00956F9D">
      <w:pPr>
        <w:numPr>
          <w:ilvl w:val="0"/>
          <w:numId w:val="7"/>
        </w:numPr>
        <w:pBdr>
          <w:top w:val="nil"/>
          <w:left w:val="nil"/>
          <w:bottom w:val="nil"/>
          <w:right w:val="nil"/>
          <w:between w:val="nil"/>
        </w:pBdr>
        <w:tabs>
          <w:tab w:val="left" w:pos="432"/>
          <w:tab w:val="left" w:pos="1568"/>
        </w:tabs>
        <w:spacing w:after="120" w:line="360" w:lineRule="auto"/>
        <w:jc w:val="both"/>
        <w:rPr>
          <w:rFonts w:ascii="Arial" w:eastAsia="Arial" w:hAnsi="Arial" w:cs="Arial"/>
          <w:color w:val="010000"/>
          <w:sz w:val="20"/>
          <w:szCs w:val="20"/>
        </w:rPr>
      </w:pPr>
      <w:r w:rsidRPr="00217832">
        <w:rPr>
          <w:rFonts w:ascii="Arial" w:hAnsi="Arial" w:cs="Arial"/>
          <w:color w:val="010000"/>
          <w:sz w:val="20"/>
        </w:rPr>
        <w:t>Mr. Nguyen Hung</w:t>
      </w:r>
      <w:r w:rsidR="00217832" w:rsidRPr="00217832">
        <w:rPr>
          <w:rFonts w:ascii="Arial" w:hAnsi="Arial" w:cs="Arial"/>
          <w:color w:val="010000"/>
          <w:sz w:val="20"/>
        </w:rPr>
        <w:t xml:space="preserve"> Phuong</w:t>
      </w:r>
      <w:r w:rsidRPr="00217832">
        <w:rPr>
          <w:rFonts w:ascii="Arial" w:hAnsi="Arial" w:cs="Arial"/>
          <w:color w:val="010000"/>
          <w:sz w:val="20"/>
        </w:rPr>
        <w:t xml:space="preserve"> </w:t>
      </w:r>
    </w:p>
    <w:p w14:paraId="7A4BF9A8" w14:textId="77777777" w:rsidR="00CB5AD2" w:rsidRPr="00217832" w:rsidRDefault="002E6500" w:rsidP="00956F9D">
      <w:pPr>
        <w:numPr>
          <w:ilvl w:val="0"/>
          <w:numId w:val="6"/>
        </w:numPr>
        <w:pBdr>
          <w:top w:val="nil"/>
          <w:left w:val="nil"/>
          <w:bottom w:val="nil"/>
          <w:right w:val="nil"/>
          <w:between w:val="nil"/>
        </w:pBdr>
        <w:tabs>
          <w:tab w:val="left" w:pos="432"/>
          <w:tab w:val="left" w:pos="1448"/>
        </w:tabs>
        <w:spacing w:after="120" w:line="360" w:lineRule="auto"/>
        <w:jc w:val="both"/>
        <w:rPr>
          <w:rFonts w:ascii="Arial" w:eastAsia="Arial" w:hAnsi="Arial" w:cs="Arial"/>
          <w:color w:val="010000"/>
          <w:sz w:val="20"/>
          <w:szCs w:val="20"/>
        </w:rPr>
      </w:pPr>
      <w:r w:rsidRPr="00217832">
        <w:rPr>
          <w:rFonts w:ascii="Arial" w:hAnsi="Arial" w:cs="Arial"/>
          <w:color w:val="010000"/>
          <w:sz w:val="20"/>
        </w:rPr>
        <w:t>The results of dismissing members of the Board of Directors, including the following individuals:</w:t>
      </w:r>
    </w:p>
    <w:p w14:paraId="4FB5A647" w14:textId="77777777" w:rsidR="00CB5AD2" w:rsidRPr="00217832" w:rsidRDefault="002E6500" w:rsidP="00956F9D">
      <w:pPr>
        <w:numPr>
          <w:ilvl w:val="0"/>
          <w:numId w:val="1"/>
        </w:numPr>
        <w:pBdr>
          <w:top w:val="nil"/>
          <w:left w:val="nil"/>
          <w:bottom w:val="nil"/>
          <w:right w:val="nil"/>
          <w:between w:val="nil"/>
        </w:pBdr>
        <w:tabs>
          <w:tab w:val="left" w:pos="432"/>
          <w:tab w:val="left" w:pos="1573"/>
        </w:tabs>
        <w:spacing w:after="120" w:line="360" w:lineRule="auto"/>
        <w:jc w:val="both"/>
        <w:rPr>
          <w:rFonts w:ascii="Arial" w:eastAsia="Arial" w:hAnsi="Arial" w:cs="Arial"/>
          <w:color w:val="010000"/>
          <w:sz w:val="20"/>
          <w:szCs w:val="20"/>
        </w:rPr>
      </w:pPr>
      <w:r w:rsidRPr="00217832">
        <w:rPr>
          <w:rFonts w:ascii="Arial" w:hAnsi="Arial" w:cs="Arial"/>
          <w:color w:val="010000"/>
          <w:sz w:val="20"/>
        </w:rPr>
        <w:t xml:space="preserve">Mr. Le The Son </w:t>
      </w:r>
    </w:p>
    <w:p w14:paraId="06B8E290" w14:textId="77777777" w:rsidR="00CB5AD2" w:rsidRPr="00217832" w:rsidRDefault="002E6500" w:rsidP="00956F9D">
      <w:pPr>
        <w:numPr>
          <w:ilvl w:val="0"/>
          <w:numId w:val="1"/>
        </w:numPr>
        <w:pBdr>
          <w:top w:val="nil"/>
          <w:left w:val="nil"/>
          <w:bottom w:val="nil"/>
          <w:right w:val="nil"/>
          <w:between w:val="nil"/>
        </w:pBdr>
        <w:tabs>
          <w:tab w:val="left" w:pos="432"/>
          <w:tab w:val="left" w:pos="1573"/>
        </w:tabs>
        <w:spacing w:after="120" w:line="360" w:lineRule="auto"/>
        <w:jc w:val="both"/>
        <w:rPr>
          <w:rFonts w:ascii="Arial" w:eastAsia="Arial" w:hAnsi="Arial" w:cs="Arial"/>
          <w:color w:val="010000"/>
          <w:sz w:val="20"/>
          <w:szCs w:val="20"/>
        </w:rPr>
      </w:pPr>
      <w:r w:rsidRPr="00217832">
        <w:rPr>
          <w:rFonts w:ascii="Arial" w:hAnsi="Arial" w:cs="Arial"/>
          <w:color w:val="010000"/>
          <w:sz w:val="20"/>
        </w:rPr>
        <w:t>Mr. Pham Van Tu</w:t>
      </w:r>
    </w:p>
    <w:p w14:paraId="7DD86FF2" w14:textId="77777777" w:rsidR="00CB5AD2" w:rsidRPr="00217832" w:rsidRDefault="002E6500" w:rsidP="00956F9D">
      <w:pPr>
        <w:numPr>
          <w:ilvl w:val="0"/>
          <w:numId w:val="6"/>
        </w:numPr>
        <w:pBdr>
          <w:top w:val="nil"/>
          <w:left w:val="nil"/>
          <w:bottom w:val="nil"/>
          <w:right w:val="nil"/>
          <w:between w:val="nil"/>
        </w:pBdr>
        <w:tabs>
          <w:tab w:val="left" w:pos="432"/>
          <w:tab w:val="left" w:pos="1549"/>
        </w:tabs>
        <w:spacing w:after="120" w:line="360" w:lineRule="auto"/>
        <w:jc w:val="both"/>
        <w:rPr>
          <w:rFonts w:ascii="Arial" w:eastAsia="Arial" w:hAnsi="Arial" w:cs="Arial"/>
          <w:color w:val="010000"/>
          <w:sz w:val="20"/>
          <w:szCs w:val="20"/>
        </w:rPr>
      </w:pPr>
      <w:r w:rsidRPr="00217832">
        <w:rPr>
          <w:rFonts w:ascii="Arial" w:hAnsi="Arial" w:cs="Arial"/>
          <w:color w:val="010000"/>
          <w:sz w:val="20"/>
        </w:rPr>
        <w:lastRenderedPageBreak/>
        <w:t>Implementation and organization:</w:t>
      </w:r>
    </w:p>
    <w:p w14:paraId="734B9B9C" w14:textId="77777777" w:rsidR="00CB5AD2" w:rsidRPr="00217832" w:rsidRDefault="002E6500" w:rsidP="00956F9D">
      <w:pPr>
        <w:numPr>
          <w:ilvl w:val="0"/>
          <w:numId w:val="5"/>
        </w:numPr>
        <w:pBdr>
          <w:top w:val="nil"/>
          <w:left w:val="nil"/>
          <w:bottom w:val="nil"/>
          <w:right w:val="nil"/>
          <w:between w:val="nil"/>
        </w:pBdr>
        <w:tabs>
          <w:tab w:val="left" w:pos="432"/>
          <w:tab w:val="left" w:pos="1357"/>
        </w:tabs>
        <w:spacing w:after="120" w:line="360" w:lineRule="auto"/>
        <w:jc w:val="both"/>
        <w:rPr>
          <w:rFonts w:ascii="Arial" w:eastAsia="Arial" w:hAnsi="Arial" w:cs="Arial"/>
          <w:color w:val="010000"/>
          <w:sz w:val="20"/>
          <w:szCs w:val="20"/>
        </w:rPr>
      </w:pPr>
      <w:r w:rsidRPr="00217832">
        <w:rPr>
          <w:rFonts w:ascii="Arial" w:hAnsi="Arial" w:cs="Arial"/>
          <w:color w:val="010000"/>
          <w:sz w:val="20"/>
        </w:rPr>
        <w:t xml:space="preserve">This Annual General Mandate takes effect from June 04, 2024. </w:t>
      </w:r>
    </w:p>
    <w:p w14:paraId="369DA3E3" w14:textId="77777777" w:rsidR="00CB5AD2" w:rsidRPr="00217832" w:rsidRDefault="002E6500" w:rsidP="00956F9D">
      <w:pPr>
        <w:numPr>
          <w:ilvl w:val="0"/>
          <w:numId w:val="5"/>
        </w:numPr>
        <w:pBdr>
          <w:top w:val="nil"/>
          <w:left w:val="nil"/>
          <w:bottom w:val="nil"/>
          <w:right w:val="nil"/>
          <w:between w:val="nil"/>
        </w:pBdr>
        <w:tabs>
          <w:tab w:val="left" w:pos="432"/>
          <w:tab w:val="left" w:pos="1347"/>
        </w:tabs>
        <w:spacing w:after="120" w:line="360" w:lineRule="auto"/>
        <w:jc w:val="both"/>
        <w:rPr>
          <w:rFonts w:ascii="Arial" w:eastAsia="Arial" w:hAnsi="Arial" w:cs="Arial"/>
          <w:color w:val="010000"/>
          <w:sz w:val="20"/>
          <w:szCs w:val="20"/>
        </w:rPr>
      </w:pPr>
      <w:r w:rsidRPr="00217832">
        <w:rPr>
          <w:rFonts w:ascii="Arial" w:hAnsi="Arial" w:cs="Arial"/>
          <w:color w:val="010000"/>
          <w:sz w:val="20"/>
        </w:rPr>
        <w:t xml:space="preserve">Members of the Board of Directors, the Supervisory Board, the Board of Management, and Shareholders of Thanh Hoa Water Supply Joint Stock Company are responsible for organizing and implementing this Annual General Mandate according to their functions, legal regulations and the Company’s charter. </w:t>
      </w:r>
    </w:p>
    <w:sectPr w:rsidR="00CB5AD2" w:rsidRPr="00217832" w:rsidSect="001C6CE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altName w:val="Times New Roman"/>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223D"/>
    <w:multiLevelType w:val="multilevel"/>
    <w:tmpl w:val="897E2CD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3AE263E"/>
    <w:multiLevelType w:val="multilevel"/>
    <w:tmpl w:val="A45CC9EC"/>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89F1338"/>
    <w:multiLevelType w:val="multilevel"/>
    <w:tmpl w:val="1AB6050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5B904DC"/>
    <w:multiLevelType w:val="multilevel"/>
    <w:tmpl w:val="3CA02CF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16F537A"/>
    <w:multiLevelType w:val="multilevel"/>
    <w:tmpl w:val="6E7291D8"/>
    <w:lvl w:ilvl="0">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578A2131"/>
    <w:multiLevelType w:val="multilevel"/>
    <w:tmpl w:val="20467552"/>
    <w:lvl w:ilvl="0">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74FE0FE9"/>
    <w:multiLevelType w:val="multilevel"/>
    <w:tmpl w:val="1E3EA98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D2"/>
    <w:rsid w:val="001C6CEA"/>
    <w:rsid w:val="00217832"/>
    <w:rsid w:val="002E6500"/>
    <w:rsid w:val="003E2147"/>
    <w:rsid w:val="006A5F06"/>
    <w:rsid w:val="007B010B"/>
    <w:rsid w:val="00956F9D"/>
    <w:rsid w:val="00CB5AD2"/>
    <w:rsid w:val="00DC7D0A"/>
    <w:rsid w:val="00DF5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C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71" w:lineRule="auto"/>
      <w:ind w:firstLine="40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sz w:val="26"/>
      <w:szCs w:val="26"/>
    </w:rPr>
  </w:style>
  <w:style w:type="paragraph" w:customStyle="1" w:styleId="Khc0">
    <w:name w:val="Khác"/>
    <w:basedOn w:val="Normal"/>
    <w:link w:val="Khc"/>
    <w:pPr>
      <w:spacing w:line="271" w:lineRule="auto"/>
      <w:ind w:firstLine="400"/>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71" w:lineRule="auto"/>
      <w:ind w:firstLine="40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sz w:val="26"/>
      <w:szCs w:val="26"/>
    </w:rPr>
  </w:style>
  <w:style w:type="paragraph" w:customStyle="1" w:styleId="Khc0">
    <w:name w:val="Khác"/>
    <w:basedOn w:val="Normal"/>
    <w:link w:val="Khc"/>
    <w:pPr>
      <w:spacing w:line="271" w:lineRule="auto"/>
      <w:ind w:firstLine="400"/>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OromFjHIWPmJzLrC7NgSgdLFFw==">CgMxLjA4AHIhMXRVZE50MHRVVXRvUWxJdDJNYmRTVjE2bGVSWEticnNP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571</Words>
  <Characters>3004</Characters>
  <Application>Microsoft Office Word</Application>
  <DocSecurity>0</DocSecurity>
  <Lines>25</Lines>
  <Paragraphs>7</Paragraphs>
  <ScaleCrop>false</ScaleCrop>
  <Company>Microsoft</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12</cp:revision>
  <dcterms:created xsi:type="dcterms:W3CDTF">2024-06-07T04:22:00Z</dcterms:created>
  <dcterms:modified xsi:type="dcterms:W3CDTF">2024-06-11T03:58:00Z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10bb84c9ba0783a536bd10c3f2d510f50f4a7cb9a35656b02e4cbb1000999b67</vt:lpwstr>
  </property>
</Properties>
</file>