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290" w14:textId="402C38C2" w:rsidR="008E74DF" w:rsidRPr="008F3D69" w:rsidRDefault="00155AF3" w:rsidP="00F15CB9">
      <w:pPr>
        <w:pBdr>
          <w:top w:val="nil"/>
          <w:left w:val="nil"/>
          <w:bottom w:val="nil"/>
          <w:right w:val="nil"/>
          <w:between w:val="nil"/>
        </w:pBdr>
        <w:tabs>
          <w:tab w:val="left" w:pos="432"/>
          <w:tab w:val="left" w:pos="4868"/>
        </w:tabs>
        <w:spacing w:after="120" w:line="360" w:lineRule="auto"/>
        <w:rPr>
          <w:rFonts w:ascii="Arial" w:eastAsia="Arial" w:hAnsi="Arial" w:cs="Arial"/>
          <w:b/>
          <w:color w:val="010000"/>
          <w:sz w:val="20"/>
          <w:szCs w:val="20"/>
        </w:rPr>
      </w:pPr>
      <w:r w:rsidRPr="008F3D69">
        <w:rPr>
          <w:rFonts w:ascii="Arial" w:hAnsi="Arial" w:cs="Arial"/>
          <w:b/>
          <w:color w:val="010000"/>
          <w:sz w:val="20"/>
        </w:rPr>
        <w:t>DOP</w:t>
      </w:r>
      <w:r w:rsidR="008F3D69" w:rsidRPr="008F3D69">
        <w:rPr>
          <w:rFonts w:ascii="Arial" w:hAnsi="Arial" w:cs="Arial"/>
          <w:b/>
          <w:color w:val="010000"/>
          <w:sz w:val="20"/>
        </w:rPr>
        <w:t>:</w:t>
      </w:r>
      <w:r w:rsidRPr="008F3D69">
        <w:rPr>
          <w:rFonts w:ascii="Arial" w:hAnsi="Arial" w:cs="Arial"/>
          <w:b/>
          <w:color w:val="010000"/>
          <w:sz w:val="20"/>
        </w:rPr>
        <w:t xml:space="preserve"> Board Resolution</w:t>
      </w:r>
    </w:p>
    <w:p w14:paraId="458304A9"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On June 6, 2024, Dong Thap Petroleum Transportations Joint Stock Company announced Resolution No. 04/2024/NQ-HDQT-DOP as follows:</w:t>
      </w:r>
    </w:p>
    <w:p w14:paraId="4E569518"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Article 1: Agree on the content of the expected business results Report for the first 6 months of the year and the expected Business Plan for the last 6 months of 2024. In details:</w:t>
      </w:r>
    </w:p>
    <w:p w14:paraId="6AA2A16B"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The Summary Table of Business Results for the first 6 months of 2024</w:t>
      </w:r>
    </w:p>
    <w:p w14:paraId="7C176EB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Unit: million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2049"/>
        <w:gridCol w:w="1241"/>
        <w:gridCol w:w="1032"/>
        <w:gridCol w:w="1060"/>
        <w:gridCol w:w="1066"/>
        <w:gridCol w:w="1576"/>
      </w:tblGrid>
      <w:tr w:rsidR="008E74DF" w:rsidRPr="008F3D69" w14:paraId="00828DC4" w14:textId="77777777" w:rsidTr="00F15CB9">
        <w:tc>
          <w:tcPr>
            <w:tcW w:w="551" w:type="pct"/>
            <w:shd w:val="clear" w:color="auto" w:fill="auto"/>
            <w:tcMar>
              <w:top w:w="0" w:type="dxa"/>
              <w:bottom w:w="0" w:type="dxa"/>
            </w:tcMar>
            <w:vAlign w:val="center"/>
          </w:tcPr>
          <w:p w14:paraId="29FE80ED"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No.</w:t>
            </w:r>
          </w:p>
        </w:tc>
        <w:tc>
          <w:tcPr>
            <w:tcW w:w="1136" w:type="pct"/>
            <w:shd w:val="clear" w:color="auto" w:fill="auto"/>
            <w:tcMar>
              <w:top w:w="0" w:type="dxa"/>
              <w:bottom w:w="0" w:type="dxa"/>
            </w:tcMar>
            <w:vAlign w:val="center"/>
          </w:tcPr>
          <w:p w14:paraId="23A4CB0F"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Items</w:t>
            </w:r>
          </w:p>
        </w:tc>
        <w:tc>
          <w:tcPr>
            <w:tcW w:w="688" w:type="pct"/>
            <w:shd w:val="clear" w:color="auto" w:fill="auto"/>
            <w:tcMar>
              <w:top w:w="0" w:type="dxa"/>
              <w:bottom w:w="0" w:type="dxa"/>
            </w:tcMar>
            <w:vAlign w:val="center"/>
          </w:tcPr>
          <w:p w14:paraId="040EB274"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Plan 2024</w:t>
            </w:r>
          </w:p>
        </w:tc>
        <w:tc>
          <w:tcPr>
            <w:tcW w:w="572" w:type="pct"/>
            <w:shd w:val="clear" w:color="auto" w:fill="auto"/>
            <w:tcMar>
              <w:top w:w="0" w:type="dxa"/>
              <w:bottom w:w="0" w:type="dxa"/>
            </w:tcMar>
            <w:vAlign w:val="center"/>
          </w:tcPr>
          <w:p w14:paraId="42E0C1DD"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 xml:space="preserve"> Q1</w:t>
            </w:r>
          </w:p>
        </w:tc>
        <w:tc>
          <w:tcPr>
            <w:tcW w:w="588" w:type="pct"/>
            <w:shd w:val="clear" w:color="auto" w:fill="auto"/>
            <w:tcMar>
              <w:top w:w="0" w:type="dxa"/>
              <w:bottom w:w="0" w:type="dxa"/>
            </w:tcMar>
            <w:vAlign w:val="center"/>
          </w:tcPr>
          <w:p w14:paraId="437A1E3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 xml:space="preserve"> Q2</w:t>
            </w:r>
          </w:p>
        </w:tc>
        <w:tc>
          <w:tcPr>
            <w:tcW w:w="591" w:type="pct"/>
            <w:shd w:val="clear" w:color="auto" w:fill="auto"/>
            <w:tcMar>
              <w:top w:w="0" w:type="dxa"/>
              <w:bottom w:w="0" w:type="dxa"/>
            </w:tcMar>
            <w:vAlign w:val="center"/>
          </w:tcPr>
          <w:p w14:paraId="3EE50EA6"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Total</w:t>
            </w:r>
          </w:p>
        </w:tc>
        <w:tc>
          <w:tcPr>
            <w:tcW w:w="874" w:type="pct"/>
            <w:shd w:val="clear" w:color="auto" w:fill="auto"/>
            <w:tcMar>
              <w:top w:w="0" w:type="dxa"/>
              <w:bottom w:w="0" w:type="dxa"/>
            </w:tcMar>
            <w:vAlign w:val="center"/>
          </w:tcPr>
          <w:p w14:paraId="746FCFC4"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/Plan (%)</w:t>
            </w:r>
          </w:p>
        </w:tc>
      </w:tr>
      <w:tr w:rsidR="008E74DF" w:rsidRPr="008F3D69" w14:paraId="6EDCF072" w14:textId="77777777" w:rsidTr="00F15CB9">
        <w:tc>
          <w:tcPr>
            <w:tcW w:w="551" w:type="pct"/>
            <w:shd w:val="clear" w:color="auto" w:fill="auto"/>
            <w:tcMar>
              <w:top w:w="0" w:type="dxa"/>
              <w:bottom w:w="0" w:type="dxa"/>
            </w:tcMar>
            <w:vAlign w:val="center"/>
          </w:tcPr>
          <w:p w14:paraId="2B85398C"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1</w:t>
            </w:r>
          </w:p>
        </w:tc>
        <w:tc>
          <w:tcPr>
            <w:tcW w:w="1136" w:type="pct"/>
            <w:shd w:val="clear" w:color="auto" w:fill="auto"/>
            <w:tcMar>
              <w:top w:w="0" w:type="dxa"/>
              <w:bottom w:w="0" w:type="dxa"/>
            </w:tcMar>
            <w:vAlign w:val="center"/>
          </w:tcPr>
          <w:p w14:paraId="30FD832F"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Total revenue</w:t>
            </w:r>
          </w:p>
        </w:tc>
        <w:tc>
          <w:tcPr>
            <w:tcW w:w="688" w:type="pct"/>
            <w:shd w:val="clear" w:color="auto" w:fill="auto"/>
            <w:tcMar>
              <w:top w:w="0" w:type="dxa"/>
              <w:bottom w:w="0" w:type="dxa"/>
            </w:tcMar>
            <w:vAlign w:val="center"/>
          </w:tcPr>
          <w:p w14:paraId="089E6075"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82,000</w:t>
            </w:r>
          </w:p>
        </w:tc>
        <w:tc>
          <w:tcPr>
            <w:tcW w:w="572" w:type="pct"/>
            <w:shd w:val="clear" w:color="auto" w:fill="auto"/>
            <w:tcMar>
              <w:top w:w="0" w:type="dxa"/>
              <w:bottom w:w="0" w:type="dxa"/>
            </w:tcMar>
            <w:vAlign w:val="center"/>
          </w:tcPr>
          <w:p w14:paraId="3EE71114"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26,300</w:t>
            </w:r>
          </w:p>
        </w:tc>
        <w:tc>
          <w:tcPr>
            <w:tcW w:w="588" w:type="pct"/>
            <w:shd w:val="clear" w:color="auto" w:fill="auto"/>
            <w:tcMar>
              <w:top w:w="0" w:type="dxa"/>
              <w:bottom w:w="0" w:type="dxa"/>
            </w:tcMar>
            <w:vAlign w:val="center"/>
          </w:tcPr>
          <w:p w14:paraId="418700AC"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20,000</w:t>
            </w:r>
          </w:p>
        </w:tc>
        <w:tc>
          <w:tcPr>
            <w:tcW w:w="591" w:type="pct"/>
            <w:shd w:val="clear" w:color="auto" w:fill="auto"/>
            <w:tcMar>
              <w:top w:w="0" w:type="dxa"/>
              <w:bottom w:w="0" w:type="dxa"/>
            </w:tcMar>
            <w:vAlign w:val="center"/>
          </w:tcPr>
          <w:p w14:paraId="7331A4E4"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46,300</w:t>
            </w:r>
          </w:p>
        </w:tc>
        <w:tc>
          <w:tcPr>
            <w:tcW w:w="874" w:type="pct"/>
            <w:shd w:val="clear" w:color="auto" w:fill="auto"/>
            <w:tcMar>
              <w:top w:w="0" w:type="dxa"/>
              <w:bottom w:w="0" w:type="dxa"/>
            </w:tcMar>
            <w:vAlign w:val="center"/>
          </w:tcPr>
          <w:p w14:paraId="528FB9EF"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56%</w:t>
            </w:r>
          </w:p>
        </w:tc>
      </w:tr>
      <w:tr w:rsidR="008E74DF" w:rsidRPr="008F3D69" w14:paraId="2337715D" w14:textId="77777777" w:rsidTr="00F15CB9">
        <w:tc>
          <w:tcPr>
            <w:tcW w:w="551" w:type="pct"/>
            <w:shd w:val="clear" w:color="auto" w:fill="auto"/>
            <w:tcMar>
              <w:top w:w="0" w:type="dxa"/>
              <w:bottom w:w="0" w:type="dxa"/>
            </w:tcMar>
            <w:vAlign w:val="center"/>
          </w:tcPr>
          <w:p w14:paraId="2D013176"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2</w:t>
            </w:r>
          </w:p>
        </w:tc>
        <w:tc>
          <w:tcPr>
            <w:tcW w:w="1136" w:type="pct"/>
            <w:shd w:val="clear" w:color="auto" w:fill="auto"/>
            <w:tcMar>
              <w:top w:w="0" w:type="dxa"/>
              <w:bottom w:w="0" w:type="dxa"/>
            </w:tcMar>
            <w:vAlign w:val="center"/>
          </w:tcPr>
          <w:p w14:paraId="21D35303"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Profit before tax</w:t>
            </w:r>
          </w:p>
        </w:tc>
        <w:tc>
          <w:tcPr>
            <w:tcW w:w="688" w:type="pct"/>
            <w:shd w:val="clear" w:color="auto" w:fill="auto"/>
            <w:tcMar>
              <w:top w:w="0" w:type="dxa"/>
              <w:bottom w:w="0" w:type="dxa"/>
            </w:tcMar>
            <w:vAlign w:val="center"/>
          </w:tcPr>
          <w:p w14:paraId="43245715"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9,500</w:t>
            </w:r>
          </w:p>
        </w:tc>
        <w:tc>
          <w:tcPr>
            <w:tcW w:w="572" w:type="pct"/>
            <w:shd w:val="clear" w:color="auto" w:fill="auto"/>
            <w:tcMar>
              <w:top w:w="0" w:type="dxa"/>
              <w:bottom w:w="0" w:type="dxa"/>
            </w:tcMar>
            <w:vAlign w:val="center"/>
          </w:tcPr>
          <w:p w14:paraId="642D94EC"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3,500</w:t>
            </w:r>
          </w:p>
        </w:tc>
        <w:tc>
          <w:tcPr>
            <w:tcW w:w="588" w:type="pct"/>
            <w:shd w:val="clear" w:color="auto" w:fill="auto"/>
            <w:tcMar>
              <w:top w:w="0" w:type="dxa"/>
              <w:bottom w:w="0" w:type="dxa"/>
            </w:tcMar>
            <w:vAlign w:val="center"/>
          </w:tcPr>
          <w:p w14:paraId="43B708D6"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2,500</w:t>
            </w:r>
          </w:p>
        </w:tc>
        <w:tc>
          <w:tcPr>
            <w:tcW w:w="591" w:type="pct"/>
            <w:shd w:val="clear" w:color="auto" w:fill="auto"/>
            <w:tcMar>
              <w:top w:w="0" w:type="dxa"/>
              <w:bottom w:w="0" w:type="dxa"/>
            </w:tcMar>
            <w:vAlign w:val="center"/>
          </w:tcPr>
          <w:p w14:paraId="5FDAD12F"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6,000</w:t>
            </w:r>
          </w:p>
        </w:tc>
        <w:tc>
          <w:tcPr>
            <w:tcW w:w="874" w:type="pct"/>
            <w:shd w:val="clear" w:color="auto" w:fill="auto"/>
            <w:tcMar>
              <w:top w:w="0" w:type="dxa"/>
              <w:bottom w:w="0" w:type="dxa"/>
            </w:tcMar>
            <w:vAlign w:val="center"/>
          </w:tcPr>
          <w:p w14:paraId="6897D0F0"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63%</w:t>
            </w:r>
          </w:p>
        </w:tc>
      </w:tr>
    </w:tbl>
    <w:p w14:paraId="2104BF06"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The Summary Table of expected business results for the last 6 months of 2024</w:t>
      </w:r>
    </w:p>
    <w:p w14:paraId="4E211289"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Unit: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1"/>
        <w:gridCol w:w="2263"/>
        <w:gridCol w:w="1255"/>
        <w:gridCol w:w="1244"/>
        <w:gridCol w:w="1603"/>
        <w:gridCol w:w="1591"/>
      </w:tblGrid>
      <w:tr w:rsidR="008E74DF" w:rsidRPr="008F3D69" w14:paraId="5E55870C" w14:textId="77777777" w:rsidTr="00F15CB9">
        <w:tc>
          <w:tcPr>
            <w:tcW w:w="588" w:type="pct"/>
            <w:shd w:val="clear" w:color="auto" w:fill="auto"/>
            <w:tcMar>
              <w:top w:w="0" w:type="dxa"/>
              <w:bottom w:w="0" w:type="dxa"/>
            </w:tcMar>
            <w:vAlign w:val="center"/>
          </w:tcPr>
          <w:p w14:paraId="65D0E4F0"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No.</w:t>
            </w:r>
          </w:p>
        </w:tc>
        <w:tc>
          <w:tcPr>
            <w:tcW w:w="1255" w:type="pct"/>
            <w:shd w:val="clear" w:color="auto" w:fill="auto"/>
            <w:tcMar>
              <w:top w:w="0" w:type="dxa"/>
              <w:bottom w:w="0" w:type="dxa"/>
            </w:tcMar>
            <w:vAlign w:val="center"/>
          </w:tcPr>
          <w:p w14:paraId="19EBBCDB"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Items</w:t>
            </w:r>
          </w:p>
        </w:tc>
        <w:tc>
          <w:tcPr>
            <w:tcW w:w="696" w:type="pct"/>
            <w:shd w:val="clear" w:color="auto" w:fill="auto"/>
            <w:tcMar>
              <w:top w:w="0" w:type="dxa"/>
              <w:bottom w:w="0" w:type="dxa"/>
            </w:tcMar>
            <w:vAlign w:val="center"/>
          </w:tcPr>
          <w:p w14:paraId="03B8E618"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Plan 2024</w:t>
            </w:r>
          </w:p>
        </w:tc>
        <w:tc>
          <w:tcPr>
            <w:tcW w:w="690" w:type="pct"/>
            <w:shd w:val="clear" w:color="auto" w:fill="auto"/>
            <w:tcMar>
              <w:top w:w="0" w:type="dxa"/>
              <w:bottom w:w="0" w:type="dxa"/>
            </w:tcMar>
            <w:vAlign w:val="center"/>
          </w:tcPr>
          <w:p w14:paraId="675FD399"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 xml:space="preserve"> Q1,2</w:t>
            </w:r>
          </w:p>
        </w:tc>
        <w:tc>
          <w:tcPr>
            <w:tcW w:w="889" w:type="pct"/>
            <w:shd w:val="clear" w:color="auto" w:fill="auto"/>
            <w:tcMar>
              <w:top w:w="0" w:type="dxa"/>
              <w:bottom w:w="0" w:type="dxa"/>
            </w:tcMar>
            <w:vAlign w:val="center"/>
          </w:tcPr>
          <w:p w14:paraId="62458D37"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 xml:space="preserve"> Q3,4</w:t>
            </w:r>
          </w:p>
        </w:tc>
        <w:tc>
          <w:tcPr>
            <w:tcW w:w="882" w:type="pct"/>
            <w:shd w:val="clear" w:color="auto" w:fill="auto"/>
            <w:tcMar>
              <w:top w:w="0" w:type="dxa"/>
              <w:bottom w:w="0" w:type="dxa"/>
            </w:tcMar>
            <w:vAlign w:val="center"/>
          </w:tcPr>
          <w:p w14:paraId="214761C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Result</w:t>
            </w:r>
            <w:r w:rsidR="00973E0A" w:rsidRPr="008F3D69">
              <w:rPr>
                <w:rFonts w:ascii="Arial" w:hAnsi="Arial" w:cs="Arial"/>
                <w:color w:val="010000"/>
                <w:sz w:val="20"/>
              </w:rPr>
              <w:t>s</w:t>
            </w:r>
            <w:r w:rsidRPr="008F3D69">
              <w:rPr>
                <w:rFonts w:ascii="Arial" w:hAnsi="Arial" w:cs="Arial"/>
                <w:color w:val="010000"/>
                <w:sz w:val="20"/>
              </w:rPr>
              <w:t>/Plan (%)</w:t>
            </w:r>
          </w:p>
          <w:p w14:paraId="4A7DFCBC"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w:t>
            </w:r>
          </w:p>
        </w:tc>
      </w:tr>
      <w:tr w:rsidR="008E74DF" w:rsidRPr="008F3D69" w14:paraId="467DFEA8" w14:textId="77777777" w:rsidTr="00F15CB9">
        <w:tc>
          <w:tcPr>
            <w:tcW w:w="588" w:type="pct"/>
            <w:shd w:val="clear" w:color="auto" w:fill="auto"/>
            <w:tcMar>
              <w:top w:w="0" w:type="dxa"/>
              <w:bottom w:w="0" w:type="dxa"/>
            </w:tcMar>
            <w:vAlign w:val="center"/>
          </w:tcPr>
          <w:p w14:paraId="122AAD88"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1</w:t>
            </w:r>
          </w:p>
        </w:tc>
        <w:tc>
          <w:tcPr>
            <w:tcW w:w="1255" w:type="pct"/>
            <w:shd w:val="clear" w:color="auto" w:fill="auto"/>
            <w:tcMar>
              <w:top w:w="0" w:type="dxa"/>
              <w:bottom w:w="0" w:type="dxa"/>
            </w:tcMar>
            <w:vAlign w:val="center"/>
          </w:tcPr>
          <w:p w14:paraId="0A4FE98A"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Total revenue</w:t>
            </w:r>
          </w:p>
        </w:tc>
        <w:tc>
          <w:tcPr>
            <w:tcW w:w="696" w:type="pct"/>
            <w:shd w:val="clear" w:color="auto" w:fill="auto"/>
            <w:tcMar>
              <w:top w:w="0" w:type="dxa"/>
              <w:bottom w:w="0" w:type="dxa"/>
            </w:tcMar>
            <w:vAlign w:val="center"/>
          </w:tcPr>
          <w:p w14:paraId="36BF1046"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82,000</w:t>
            </w:r>
          </w:p>
        </w:tc>
        <w:tc>
          <w:tcPr>
            <w:tcW w:w="690" w:type="pct"/>
            <w:shd w:val="clear" w:color="auto" w:fill="auto"/>
            <w:tcMar>
              <w:top w:w="0" w:type="dxa"/>
              <w:bottom w:w="0" w:type="dxa"/>
            </w:tcMar>
            <w:vAlign w:val="center"/>
          </w:tcPr>
          <w:p w14:paraId="5AE02FA9"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46,300</w:t>
            </w:r>
          </w:p>
        </w:tc>
        <w:tc>
          <w:tcPr>
            <w:tcW w:w="889" w:type="pct"/>
            <w:shd w:val="clear" w:color="auto" w:fill="auto"/>
            <w:tcMar>
              <w:top w:w="0" w:type="dxa"/>
              <w:bottom w:w="0" w:type="dxa"/>
            </w:tcMar>
            <w:vAlign w:val="center"/>
          </w:tcPr>
          <w:p w14:paraId="65914540"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36,000</w:t>
            </w:r>
          </w:p>
        </w:tc>
        <w:tc>
          <w:tcPr>
            <w:tcW w:w="882" w:type="pct"/>
            <w:shd w:val="clear" w:color="auto" w:fill="auto"/>
            <w:tcMar>
              <w:top w:w="0" w:type="dxa"/>
              <w:bottom w:w="0" w:type="dxa"/>
            </w:tcMar>
            <w:vAlign w:val="center"/>
          </w:tcPr>
          <w:p w14:paraId="111AA6CF"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100%</w:t>
            </w:r>
          </w:p>
        </w:tc>
      </w:tr>
      <w:tr w:rsidR="008E74DF" w:rsidRPr="008F3D69" w14:paraId="3595317E" w14:textId="77777777" w:rsidTr="00F15CB9">
        <w:tc>
          <w:tcPr>
            <w:tcW w:w="588" w:type="pct"/>
            <w:shd w:val="clear" w:color="auto" w:fill="auto"/>
            <w:tcMar>
              <w:top w:w="0" w:type="dxa"/>
              <w:bottom w:w="0" w:type="dxa"/>
            </w:tcMar>
            <w:vAlign w:val="center"/>
          </w:tcPr>
          <w:p w14:paraId="6A9F5A5B"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2</w:t>
            </w:r>
          </w:p>
        </w:tc>
        <w:tc>
          <w:tcPr>
            <w:tcW w:w="1255" w:type="pct"/>
            <w:shd w:val="clear" w:color="auto" w:fill="auto"/>
            <w:tcMar>
              <w:top w:w="0" w:type="dxa"/>
              <w:bottom w:w="0" w:type="dxa"/>
            </w:tcMar>
            <w:vAlign w:val="center"/>
          </w:tcPr>
          <w:p w14:paraId="7E5A4167"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Profit before tax</w:t>
            </w:r>
          </w:p>
        </w:tc>
        <w:tc>
          <w:tcPr>
            <w:tcW w:w="696" w:type="pct"/>
            <w:shd w:val="clear" w:color="auto" w:fill="auto"/>
            <w:tcMar>
              <w:top w:w="0" w:type="dxa"/>
              <w:bottom w:w="0" w:type="dxa"/>
            </w:tcMar>
            <w:vAlign w:val="center"/>
          </w:tcPr>
          <w:p w14:paraId="678BFF48"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9,500</w:t>
            </w:r>
          </w:p>
        </w:tc>
        <w:tc>
          <w:tcPr>
            <w:tcW w:w="690" w:type="pct"/>
            <w:shd w:val="clear" w:color="auto" w:fill="auto"/>
            <w:tcMar>
              <w:top w:w="0" w:type="dxa"/>
              <w:bottom w:w="0" w:type="dxa"/>
            </w:tcMar>
            <w:vAlign w:val="center"/>
          </w:tcPr>
          <w:p w14:paraId="00CD5888"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6,000</w:t>
            </w:r>
          </w:p>
        </w:tc>
        <w:tc>
          <w:tcPr>
            <w:tcW w:w="889" w:type="pct"/>
            <w:shd w:val="clear" w:color="auto" w:fill="auto"/>
            <w:tcMar>
              <w:top w:w="0" w:type="dxa"/>
              <w:bottom w:w="0" w:type="dxa"/>
            </w:tcMar>
            <w:vAlign w:val="center"/>
          </w:tcPr>
          <w:p w14:paraId="60CA180B"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4,000</w:t>
            </w:r>
          </w:p>
        </w:tc>
        <w:tc>
          <w:tcPr>
            <w:tcW w:w="882" w:type="pct"/>
            <w:shd w:val="clear" w:color="auto" w:fill="auto"/>
            <w:tcMar>
              <w:top w:w="0" w:type="dxa"/>
              <w:bottom w:w="0" w:type="dxa"/>
            </w:tcMar>
            <w:vAlign w:val="center"/>
          </w:tcPr>
          <w:p w14:paraId="4409588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105%</w:t>
            </w:r>
          </w:p>
        </w:tc>
      </w:tr>
    </w:tbl>
    <w:p w14:paraId="3798867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 xml:space="preserve">Article 2: Agree on the </w:t>
      </w:r>
      <w:r w:rsidR="00973E0A" w:rsidRPr="008F3D69">
        <w:rPr>
          <w:rFonts w:ascii="Arial" w:hAnsi="Arial" w:cs="Arial"/>
          <w:color w:val="010000"/>
          <w:sz w:val="20"/>
        </w:rPr>
        <w:t xml:space="preserve">Inspection Report </w:t>
      </w:r>
      <w:r w:rsidRPr="008F3D69">
        <w:rPr>
          <w:rFonts w:ascii="Arial" w:hAnsi="Arial" w:cs="Arial"/>
          <w:color w:val="010000"/>
          <w:sz w:val="20"/>
        </w:rPr>
        <w:t>of the Supervisory Board Q1/2024.</w:t>
      </w:r>
    </w:p>
    <w:p w14:paraId="716A6474" w14:textId="03D01911"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Article 3: Agree on the expected date for cash dividend payment for the year 2023. Agree the record date to exercise the right to receive dividends payment in cash is June 19, 2024</w:t>
      </w:r>
      <w:r w:rsidR="008F3D69" w:rsidRPr="008F3D69">
        <w:rPr>
          <w:rFonts w:ascii="Arial" w:hAnsi="Arial" w:cs="Arial"/>
          <w:color w:val="010000"/>
          <w:sz w:val="20"/>
        </w:rPr>
        <w:t>.</w:t>
      </w:r>
    </w:p>
    <w:p w14:paraId="199CBA51" w14:textId="77777777" w:rsidR="008E74DF" w:rsidRPr="008F3D69" w:rsidRDefault="00155AF3" w:rsidP="00F15C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F3D69">
        <w:rPr>
          <w:rFonts w:ascii="Arial" w:hAnsi="Arial" w:cs="Arial"/>
          <w:color w:val="010000"/>
          <w:sz w:val="20"/>
        </w:rPr>
        <w:t>Article 3: This Resolution takes effect from the date of its signing. The Board of Directors, the Board of Managers, the Supervisory Board, the departments within the company, and related units are responsible for implementing this Resolution.</w:t>
      </w:r>
    </w:p>
    <w:sectPr w:rsidR="008E74DF" w:rsidRPr="008F3D69" w:rsidSect="00F15CB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DF"/>
    <w:rsid w:val="00155AF3"/>
    <w:rsid w:val="008E74DF"/>
    <w:rsid w:val="008F3D69"/>
    <w:rsid w:val="00973E0A"/>
    <w:rsid w:val="00B14630"/>
    <w:rsid w:val="00D8010B"/>
    <w:rsid w:val="00F1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9C2C"/>
  <w15:docId w15:val="{A6AE7D4A-289C-465D-BE83-0DD9DA2B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36"/>
      <w:szCs w:val="3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6"/>
      <w:szCs w:val="26"/>
      <w:u w:val="none"/>
      <w:shd w:val="clear" w:color="auto" w:fill="auto"/>
    </w:rPr>
  </w:style>
  <w:style w:type="paragraph" w:customStyle="1" w:styleId="Vnbnnidung30">
    <w:name w:val="Văn bản nội dung (3)"/>
    <w:basedOn w:val="Normal"/>
    <w:link w:val="Vnbnnidung3"/>
    <w:pPr>
      <w:ind w:left="520"/>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286" w:lineRule="auto"/>
      <w:ind w:firstLine="400"/>
    </w:pPr>
    <w:rPr>
      <w:rFonts w:ascii="Times New Roman" w:eastAsia="Times New Roman" w:hAnsi="Times New Roman" w:cs="Times New Roman"/>
      <w:sz w:val="26"/>
      <w:szCs w:val="26"/>
    </w:rPr>
  </w:style>
  <w:style w:type="paragraph" w:customStyle="1" w:styleId="Tiu20">
    <w:name w:val="Tiêu đề #2"/>
    <w:basedOn w:val="Normal"/>
    <w:link w:val="Tiu2"/>
    <w:pPr>
      <w:outlineLvl w:val="1"/>
    </w:pPr>
    <w:rPr>
      <w:rFonts w:ascii="Times New Roman" w:eastAsia="Times New Roman" w:hAnsi="Times New Roman" w:cs="Times New Roman"/>
      <w:b/>
      <w:bCs/>
      <w:sz w:val="26"/>
      <w:szCs w:val="26"/>
    </w:rPr>
  </w:style>
  <w:style w:type="paragraph" w:customStyle="1" w:styleId="Khc0">
    <w:name w:val="Khác"/>
    <w:basedOn w:val="Normal"/>
    <w:link w:val="Khc"/>
    <w:pPr>
      <w:spacing w:line="28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outlineLvl w:val="0"/>
    </w:pPr>
    <w:rPr>
      <w:rFonts w:ascii="Arial" w:eastAsia="Arial" w:hAnsi="Arial" w:cs="Arial"/>
      <w:sz w:val="36"/>
      <w:szCs w:val="36"/>
    </w:rPr>
  </w:style>
  <w:style w:type="paragraph" w:customStyle="1" w:styleId="Vnbnnidung20">
    <w:name w:val="Văn bản nội dung (2)"/>
    <w:basedOn w:val="Normal"/>
    <w:link w:val="Vnbnnidung2"/>
    <w:pPr>
      <w:spacing w:line="226" w:lineRule="auto"/>
    </w:pPr>
    <w:rPr>
      <w:rFonts w:ascii="Arial" w:eastAsia="Arial" w:hAnsi="Arial" w:cs="Arial"/>
      <w:sz w:val="8"/>
      <w:szCs w:val="8"/>
    </w:rPr>
  </w:style>
  <w:style w:type="paragraph" w:customStyle="1" w:styleId="Chthchbng0">
    <w:name w:val="Chú thích bảng"/>
    <w:basedOn w:val="Normal"/>
    <w:link w:val="Chthchbng"/>
    <w:pPr>
      <w:spacing w:line="264" w:lineRule="auto"/>
    </w:pPr>
    <w:rPr>
      <w:rFonts w:ascii="Times New Roman" w:eastAsia="Times New Roman" w:hAnsi="Times New Roman" w:cs="Times New Roman"/>
      <w:i/>
      <w:i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HdkiCdTy8cr8zl5haoYNVbaGw==">CgMxLjA4AHIhMTVfM2F4S050SjVnNFozYkFsakphc0o5clhoT1VKbTRH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1112</Characters>
  <Application>Microsoft Office Word</Application>
  <DocSecurity>0</DocSecurity>
  <Lines>55</Lines>
  <Paragraphs>58</Paragraphs>
  <ScaleCrop>false</ScaleCrop>
  <Company>Microsoft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7</cp:revision>
  <dcterms:created xsi:type="dcterms:W3CDTF">2024-06-11T03:47:00Z</dcterms:created>
  <dcterms:modified xsi:type="dcterms:W3CDTF">2024-06-11T11:47:00Z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b495c781cc69641641e4208c6ee908c8efc41fff19709fffe5306e2817612eac</vt:lpwstr>
  </property>
</Properties>
</file>