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A54B5" w14:textId="77777777" w:rsidR="006D6F49" w:rsidRPr="00450C18" w:rsidRDefault="00B66838" w:rsidP="004E0F45">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heading=h.gjdgxs"/>
      <w:bookmarkStart w:id="1" w:name="_GoBack"/>
      <w:bookmarkEnd w:id="0"/>
      <w:r w:rsidRPr="00450C18">
        <w:rPr>
          <w:rFonts w:ascii="Arial" w:hAnsi="Arial" w:cs="Arial"/>
          <w:b/>
          <w:color w:val="010000"/>
          <w:sz w:val="20"/>
        </w:rPr>
        <w:t>BMV: Annual General Mandate 2024</w:t>
      </w:r>
    </w:p>
    <w:p w14:paraId="14005B21" w14:textId="65CE919F" w:rsidR="006D6F49" w:rsidRPr="00450C18" w:rsidRDefault="00B66838" w:rsidP="004E0F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C18">
        <w:rPr>
          <w:rFonts w:ascii="Arial" w:hAnsi="Arial" w:cs="Arial"/>
          <w:color w:val="010000"/>
          <w:sz w:val="20"/>
        </w:rPr>
        <w:t>On June 7, 2024, Vinafood 1 Flour Joint Stock Company announced General Mandate No. 65/NQ-VNF1FLOUR- DHDCD as follows:</w:t>
      </w:r>
    </w:p>
    <w:p w14:paraId="6CB4BD61" w14:textId="77777777" w:rsidR="006D6F49" w:rsidRPr="00450C18" w:rsidRDefault="00B66838" w:rsidP="004E0F45">
      <w:pPr>
        <w:pBdr>
          <w:top w:val="nil"/>
          <w:left w:val="nil"/>
          <w:bottom w:val="nil"/>
          <w:right w:val="nil"/>
          <w:between w:val="nil"/>
        </w:pBdr>
        <w:tabs>
          <w:tab w:val="left" w:pos="432"/>
          <w:tab w:val="left" w:pos="8989"/>
        </w:tabs>
        <w:spacing w:after="120" w:line="360" w:lineRule="auto"/>
        <w:rPr>
          <w:rFonts w:ascii="Arial" w:eastAsia="Arial" w:hAnsi="Arial" w:cs="Arial"/>
          <w:color w:val="010000"/>
          <w:sz w:val="20"/>
          <w:szCs w:val="20"/>
        </w:rPr>
      </w:pPr>
      <w:r w:rsidRPr="00450C18">
        <w:rPr>
          <w:rFonts w:ascii="Arial" w:hAnsi="Arial" w:cs="Arial"/>
          <w:color w:val="010000"/>
          <w:sz w:val="20"/>
        </w:rPr>
        <w:t>‎‎Article 1. Approve the production and business activities results in 2023 and the production and business plan for 2024.</w:t>
      </w:r>
    </w:p>
    <w:p w14:paraId="6CD21B83" w14:textId="77777777" w:rsidR="006D6F49" w:rsidRPr="00450C18" w:rsidRDefault="00B66838" w:rsidP="004E0F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C18">
        <w:rPr>
          <w:rFonts w:ascii="Arial" w:hAnsi="Arial" w:cs="Arial"/>
          <w:color w:val="010000"/>
          <w:sz w:val="20"/>
        </w:rPr>
        <w:t>The Annual General Meeting of Shareholders 2024 of Vinafood 1 Flour Joint Stock Company approved the following contents:</w:t>
      </w:r>
    </w:p>
    <w:p w14:paraId="5376525F" w14:textId="77777777" w:rsidR="006D6F49" w:rsidRPr="00450C18" w:rsidRDefault="00B66838" w:rsidP="004E0F45">
      <w:pPr>
        <w:numPr>
          <w:ilvl w:val="0"/>
          <w:numId w:val="8"/>
        </w:numPr>
        <w:tabs>
          <w:tab w:val="left" w:pos="432"/>
          <w:tab w:val="left" w:pos="2694"/>
        </w:tabs>
        <w:spacing w:after="120" w:line="360" w:lineRule="auto"/>
        <w:rPr>
          <w:rFonts w:ascii="Arial" w:hAnsi="Arial" w:cs="Arial"/>
          <w:color w:val="010000"/>
          <w:sz w:val="20"/>
        </w:rPr>
      </w:pPr>
      <w:r w:rsidRPr="00450C18">
        <w:rPr>
          <w:rFonts w:ascii="Arial" w:hAnsi="Arial" w:cs="Arial"/>
          <w:color w:val="010000"/>
          <w:sz w:val="20"/>
        </w:rPr>
        <w:t>Production and business activities results in 2023:</w:t>
      </w:r>
    </w:p>
    <w:tbl>
      <w:tblPr>
        <w:tblStyle w:val="a"/>
        <w:tblpPr w:leftFromText="180" w:rightFromText="180" w:topFromText="180" w:bottomFromText="180" w:vertAnchor="text" w:tblpY="15"/>
        <w:tblW w:w="5000" w:type="pct"/>
        <w:tblBorders>
          <w:top w:val="nil"/>
          <w:left w:val="nil"/>
          <w:bottom w:val="nil"/>
          <w:right w:val="nil"/>
          <w:insideH w:val="nil"/>
          <w:insideV w:val="nil"/>
        </w:tblBorders>
        <w:tblLook w:val="0400" w:firstRow="0" w:lastRow="0" w:firstColumn="0" w:lastColumn="0" w:noHBand="0" w:noVBand="1"/>
      </w:tblPr>
      <w:tblGrid>
        <w:gridCol w:w="3786"/>
        <w:gridCol w:w="5241"/>
      </w:tblGrid>
      <w:tr w:rsidR="006D6F49" w:rsidRPr="00450C18" w14:paraId="2E2C3F22" w14:textId="77777777" w:rsidTr="004E0F45">
        <w:tc>
          <w:tcPr>
            <w:tcW w:w="2097" w:type="pct"/>
            <w:shd w:val="clear" w:color="auto" w:fill="auto"/>
            <w:vAlign w:val="center"/>
          </w:tcPr>
          <w:p w14:paraId="7D42E1FF" w14:textId="77777777" w:rsidR="006D6F49" w:rsidRPr="00450C18" w:rsidRDefault="00B66838" w:rsidP="004E0F45">
            <w:pPr>
              <w:numPr>
                <w:ilvl w:val="0"/>
                <w:numId w:val="4"/>
              </w:numPr>
              <w:tabs>
                <w:tab w:val="left" w:pos="432"/>
                <w:tab w:val="left" w:pos="4110"/>
              </w:tabs>
              <w:spacing w:after="120" w:line="360" w:lineRule="auto"/>
              <w:ind w:left="0" w:firstLine="0"/>
              <w:rPr>
                <w:rFonts w:ascii="Arial" w:hAnsi="Arial" w:cs="Arial"/>
                <w:color w:val="010000"/>
                <w:sz w:val="20"/>
              </w:rPr>
            </w:pPr>
            <w:r w:rsidRPr="00450C18">
              <w:rPr>
                <w:rFonts w:ascii="Arial" w:hAnsi="Arial" w:cs="Arial"/>
                <w:color w:val="010000"/>
                <w:sz w:val="20"/>
              </w:rPr>
              <w:t>Total purchase volume:</w:t>
            </w:r>
          </w:p>
        </w:tc>
        <w:tc>
          <w:tcPr>
            <w:tcW w:w="2903" w:type="pct"/>
            <w:shd w:val="clear" w:color="auto" w:fill="auto"/>
            <w:vAlign w:val="center"/>
          </w:tcPr>
          <w:p w14:paraId="09E4EB87" w14:textId="77777777" w:rsidR="006D6F49" w:rsidRPr="00450C18" w:rsidRDefault="00B66838" w:rsidP="004E0F45">
            <w:pPr>
              <w:tabs>
                <w:tab w:val="left" w:pos="432"/>
              </w:tabs>
              <w:spacing w:after="120" w:line="360" w:lineRule="auto"/>
              <w:rPr>
                <w:rFonts w:ascii="Arial" w:hAnsi="Arial" w:cs="Arial"/>
                <w:color w:val="010000"/>
                <w:sz w:val="20"/>
              </w:rPr>
            </w:pPr>
            <w:r w:rsidRPr="00450C18">
              <w:rPr>
                <w:rFonts w:ascii="Arial" w:hAnsi="Arial" w:cs="Arial"/>
                <w:color w:val="010000"/>
                <w:sz w:val="20"/>
              </w:rPr>
              <w:t>72,055 tons</w:t>
            </w:r>
          </w:p>
        </w:tc>
      </w:tr>
      <w:tr w:rsidR="006D6F49" w:rsidRPr="00450C18" w14:paraId="00FD8059" w14:textId="77777777" w:rsidTr="004E0F45">
        <w:tc>
          <w:tcPr>
            <w:tcW w:w="2097" w:type="pct"/>
            <w:shd w:val="clear" w:color="auto" w:fill="auto"/>
            <w:vAlign w:val="center"/>
          </w:tcPr>
          <w:p w14:paraId="727ED1D1" w14:textId="77777777" w:rsidR="006D6F49" w:rsidRPr="00450C18" w:rsidRDefault="00B66838" w:rsidP="004E0F45">
            <w:pPr>
              <w:numPr>
                <w:ilvl w:val="0"/>
                <w:numId w:val="4"/>
              </w:numPr>
              <w:tabs>
                <w:tab w:val="left" w:pos="432"/>
                <w:tab w:val="left" w:pos="2622"/>
              </w:tabs>
              <w:spacing w:after="120" w:line="360" w:lineRule="auto"/>
              <w:ind w:left="0" w:firstLine="0"/>
              <w:rPr>
                <w:rFonts w:ascii="Arial" w:hAnsi="Arial" w:cs="Arial"/>
                <w:color w:val="010000"/>
                <w:sz w:val="20"/>
              </w:rPr>
            </w:pPr>
            <w:r w:rsidRPr="00450C18">
              <w:rPr>
                <w:rFonts w:ascii="Arial" w:hAnsi="Arial" w:cs="Arial"/>
                <w:color w:val="010000"/>
                <w:sz w:val="20"/>
              </w:rPr>
              <w:t>Total purchase value:</w:t>
            </w:r>
          </w:p>
        </w:tc>
        <w:tc>
          <w:tcPr>
            <w:tcW w:w="2903" w:type="pct"/>
            <w:shd w:val="clear" w:color="auto" w:fill="auto"/>
            <w:vAlign w:val="center"/>
          </w:tcPr>
          <w:p w14:paraId="0644304C" w14:textId="77777777" w:rsidR="006D6F49" w:rsidRPr="00450C18" w:rsidRDefault="00B66838" w:rsidP="004E0F45">
            <w:pPr>
              <w:tabs>
                <w:tab w:val="left" w:pos="432"/>
              </w:tabs>
              <w:spacing w:after="120" w:line="360" w:lineRule="auto"/>
              <w:rPr>
                <w:rFonts w:ascii="Arial" w:hAnsi="Arial" w:cs="Arial"/>
                <w:color w:val="010000"/>
                <w:sz w:val="20"/>
              </w:rPr>
            </w:pPr>
            <w:r w:rsidRPr="00450C18">
              <w:rPr>
                <w:rFonts w:ascii="Arial" w:hAnsi="Arial" w:cs="Arial"/>
                <w:color w:val="010000"/>
                <w:sz w:val="20"/>
              </w:rPr>
              <w:t xml:space="preserve">VND 642,067 million </w:t>
            </w:r>
          </w:p>
        </w:tc>
      </w:tr>
      <w:tr w:rsidR="006D6F49" w:rsidRPr="00450C18" w14:paraId="22F7E849" w14:textId="77777777" w:rsidTr="004E0F45">
        <w:tc>
          <w:tcPr>
            <w:tcW w:w="2097" w:type="pct"/>
            <w:shd w:val="clear" w:color="auto" w:fill="auto"/>
            <w:vAlign w:val="center"/>
          </w:tcPr>
          <w:p w14:paraId="1831744E" w14:textId="77777777" w:rsidR="006D6F49" w:rsidRPr="00450C18" w:rsidRDefault="00B66838" w:rsidP="004E0F45">
            <w:pPr>
              <w:numPr>
                <w:ilvl w:val="0"/>
                <w:numId w:val="4"/>
              </w:numPr>
              <w:tabs>
                <w:tab w:val="left" w:pos="432"/>
                <w:tab w:val="left" w:pos="2622"/>
              </w:tabs>
              <w:spacing w:after="120" w:line="360" w:lineRule="auto"/>
              <w:ind w:left="0" w:firstLine="0"/>
              <w:rPr>
                <w:rFonts w:ascii="Arial" w:hAnsi="Arial" w:cs="Arial"/>
                <w:color w:val="010000"/>
                <w:sz w:val="20"/>
              </w:rPr>
            </w:pPr>
            <w:r w:rsidRPr="00450C18">
              <w:rPr>
                <w:rFonts w:ascii="Arial" w:hAnsi="Arial" w:cs="Arial"/>
                <w:color w:val="010000"/>
                <w:sz w:val="20"/>
              </w:rPr>
              <w:t>Total sales volume:</w:t>
            </w:r>
          </w:p>
        </w:tc>
        <w:tc>
          <w:tcPr>
            <w:tcW w:w="2903" w:type="pct"/>
            <w:shd w:val="clear" w:color="auto" w:fill="auto"/>
            <w:vAlign w:val="center"/>
          </w:tcPr>
          <w:p w14:paraId="3C47A0FD" w14:textId="77777777" w:rsidR="006D6F49" w:rsidRPr="00450C18" w:rsidRDefault="00B66838" w:rsidP="004E0F45">
            <w:pPr>
              <w:tabs>
                <w:tab w:val="left" w:pos="432"/>
              </w:tabs>
              <w:spacing w:after="120" w:line="360" w:lineRule="auto"/>
              <w:rPr>
                <w:rFonts w:ascii="Arial" w:hAnsi="Arial" w:cs="Arial"/>
                <w:color w:val="010000"/>
                <w:sz w:val="20"/>
              </w:rPr>
            </w:pPr>
            <w:r w:rsidRPr="00450C18">
              <w:rPr>
                <w:rFonts w:ascii="Arial" w:hAnsi="Arial" w:cs="Arial"/>
                <w:color w:val="010000"/>
                <w:sz w:val="20"/>
              </w:rPr>
              <w:t>67,143 tons</w:t>
            </w:r>
          </w:p>
        </w:tc>
      </w:tr>
      <w:tr w:rsidR="006D6F49" w:rsidRPr="00450C18" w14:paraId="36986DAC" w14:textId="77777777" w:rsidTr="004E0F45">
        <w:tc>
          <w:tcPr>
            <w:tcW w:w="2097" w:type="pct"/>
            <w:shd w:val="clear" w:color="auto" w:fill="auto"/>
            <w:vAlign w:val="center"/>
          </w:tcPr>
          <w:p w14:paraId="1B96F690" w14:textId="77777777" w:rsidR="006D6F49" w:rsidRPr="00450C18" w:rsidRDefault="00B66838" w:rsidP="004E0F45">
            <w:pPr>
              <w:numPr>
                <w:ilvl w:val="0"/>
                <w:numId w:val="4"/>
              </w:numPr>
              <w:tabs>
                <w:tab w:val="left" w:pos="432"/>
                <w:tab w:val="left" w:pos="2622"/>
              </w:tabs>
              <w:spacing w:after="120" w:line="360" w:lineRule="auto"/>
              <w:ind w:left="0" w:firstLine="0"/>
              <w:rPr>
                <w:rFonts w:ascii="Arial" w:hAnsi="Arial" w:cs="Arial"/>
                <w:color w:val="010000"/>
                <w:sz w:val="20"/>
              </w:rPr>
            </w:pPr>
            <w:r w:rsidRPr="00450C18">
              <w:rPr>
                <w:rFonts w:ascii="Arial" w:hAnsi="Arial" w:cs="Arial"/>
                <w:color w:val="010000"/>
                <w:sz w:val="20"/>
              </w:rPr>
              <w:t>Total revenue:</w:t>
            </w:r>
          </w:p>
        </w:tc>
        <w:tc>
          <w:tcPr>
            <w:tcW w:w="2903" w:type="pct"/>
            <w:shd w:val="clear" w:color="auto" w:fill="auto"/>
            <w:vAlign w:val="center"/>
          </w:tcPr>
          <w:p w14:paraId="097DB514" w14:textId="77777777" w:rsidR="006D6F49" w:rsidRPr="00450C18" w:rsidRDefault="00B66838" w:rsidP="004E0F45">
            <w:pPr>
              <w:tabs>
                <w:tab w:val="left" w:pos="432"/>
              </w:tabs>
              <w:spacing w:after="120" w:line="360" w:lineRule="auto"/>
              <w:rPr>
                <w:rFonts w:ascii="Arial" w:hAnsi="Arial" w:cs="Arial"/>
                <w:color w:val="010000"/>
                <w:sz w:val="20"/>
              </w:rPr>
            </w:pPr>
            <w:r w:rsidRPr="00450C18">
              <w:rPr>
                <w:rFonts w:ascii="Arial" w:hAnsi="Arial" w:cs="Arial"/>
                <w:color w:val="010000"/>
                <w:sz w:val="20"/>
              </w:rPr>
              <w:t>VND 674,968 million</w:t>
            </w:r>
          </w:p>
        </w:tc>
      </w:tr>
      <w:tr w:rsidR="006D6F49" w:rsidRPr="00450C18" w14:paraId="44088DE3" w14:textId="77777777" w:rsidTr="004E0F45">
        <w:tc>
          <w:tcPr>
            <w:tcW w:w="2097" w:type="pct"/>
            <w:shd w:val="clear" w:color="auto" w:fill="auto"/>
            <w:vAlign w:val="center"/>
          </w:tcPr>
          <w:p w14:paraId="10B43C2D" w14:textId="77777777" w:rsidR="006D6F49" w:rsidRPr="00450C18" w:rsidRDefault="00B66838" w:rsidP="004E0F45">
            <w:pPr>
              <w:numPr>
                <w:ilvl w:val="0"/>
                <w:numId w:val="4"/>
              </w:numPr>
              <w:tabs>
                <w:tab w:val="left" w:pos="432"/>
                <w:tab w:val="left" w:pos="2622"/>
              </w:tabs>
              <w:spacing w:after="120" w:line="360" w:lineRule="auto"/>
              <w:ind w:left="0" w:firstLine="0"/>
              <w:rPr>
                <w:rFonts w:ascii="Arial" w:hAnsi="Arial" w:cs="Arial"/>
                <w:color w:val="010000"/>
                <w:sz w:val="20"/>
              </w:rPr>
            </w:pPr>
            <w:r w:rsidRPr="00450C18">
              <w:rPr>
                <w:rFonts w:ascii="Arial" w:hAnsi="Arial" w:cs="Arial"/>
                <w:color w:val="010000"/>
                <w:sz w:val="20"/>
              </w:rPr>
              <w:t>Profit before tax:</w:t>
            </w:r>
          </w:p>
        </w:tc>
        <w:tc>
          <w:tcPr>
            <w:tcW w:w="2903" w:type="pct"/>
            <w:shd w:val="clear" w:color="auto" w:fill="auto"/>
            <w:vAlign w:val="center"/>
          </w:tcPr>
          <w:p w14:paraId="6D7531E8" w14:textId="77777777" w:rsidR="006D6F49" w:rsidRPr="00450C18" w:rsidRDefault="00B66838" w:rsidP="004E0F45">
            <w:pPr>
              <w:tabs>
                <w:tab w:val="left" w:pos="432"/>
              </w:tabs>
              <w:spacing w:after="120" w:line="360" w:lineRule="auto"/>
              <w:rPr>
                <w:rFonts w:ascii="Arial" w:hAnsi="Arial" w:cs="Arial"/>
                <w:color w:val="010000"/>
                <w:sz w:val="20"/>
              </w:rPr>
            </w:pPr>
            <w:r w:rsidRPr="00450C18">
              <w:rPr>
                <w:rFonts w:ascii="Arial" w:hAnsi="Arial" w:cs="Arial"/>
                <w:color w:val="010000"/>
                <w:sz w:val="20"/>
              </w:rPr>
              <w:t>VND 3,431 million</w:t>
            </w:r>
          </w:p>
        </w:tc>
      </w:tr>
      <w:tr w:rsidR="006D6F49" w:rsidRPr="00450C18" w14:paraId="652C532E" w14:textId="77777777" w:rsidTr="004E0F45">
        <w:tc>
          <w:tcPr>
            <w:tcW w:w="2097" w:type="pct"/>
            <w:shd w:val="clear" w:color="auto" w:fill="auto"/>
            <w:vAlign w:val="center"/>
          </w:tcPr>
          <w:p w14:paraId="17381A01" w14:textId="77777777" w:rsidR="006D6F49" w:rsidRPr="00450C18" w:rsidRDefault="00B66838" w:rsidP="004E0F45">
            <w:pPr>
              <w:numPr>
                <w:ilvl w:val="0"/>
                <w:numId w:val="4"/>
              </w:numPr>
              <w:tabs>
                <w:tab w:val="left" w:pos="432"/>
                <w:tab w:val="left" w:pos="2622"/>
              </w:tabs>
              <w:spacing w:after="120" w:line="360" w:lineRule="auto"/>
              <w:ind w:left="0" w:firstLine="0"/>
              <w:rPr>
                <w:rFonts w:ascii="Arial" w:hAnsi="Arial" w:cs="Arial"/>
                <w:color w:val="010000"/>
                <w:sz w:val="20"/>
              </w:rPr>
            </w:pPr>
            <w:r w:rsidRPr="00450C18">
              <w:rPr>
                <w:rFonts w:ascii="Arial" w:hAnsi="Arial" w:cs="Arial"/>
                <w:color w:val="010000"/>
                <w:sz w:val="20"/>
              </w:rPr>
              <w:t>Profit after tax:</w:t>
            </w:r>
          </w:p>
        </w:tc>
        <w:tc>
          <w:tcPr>
            <w:tcW w:w="2903" w:type="pct"/>
            <w:shd w:val="clear" w:color="auto" w:fill="auto"/>
            <w:vAlign w:val="center"/>
          </w:tcPr>
          <w:p w14:paraId="5E4A585A" w14:textId="77777777" w:rsidR="006D6F49" w:rsidRPr="00450C18" w:rsidRDefault="00B66838" w:rsidP="004E0F45">
            <w:pPr>
              <w:tabs>
                <w:tab w:val="left" w:pos="432"/>
              </w:tabs>
              <w:spacing w:after="120" w:line="360" w:lineRule="auto"/>
              <w:rPr>
                <w:rFonts w:ascii="Arial" w:hAnsi="Arial" w:cs="Arial"/>
                <w:color w:val="010000"/>
                <w:sz w:val="20"/>
              </w:rPr>
            </w:pPr>
            <w:r w:rsidRPr="00450C18">
              <w:rPr>
                <w:rFonts w:ascii="Arial" w:hAnsi="Arial" w:cs="Arial"/>
                <w:color w:val="010000"/>
                <w:sz w:val="20"/>
              </w:rPr>
              <w:t>VND 3,431 million</w:t>
            </w:r>
          </w:p>
        </w:tc>
      </w:tr>
      <w:tr w:rsidR="006D6F49" w:rsidRPr="00450C18" w14:paraId="60CC38EC" w14:textId="77777777" w:rsidTr="004E0F45">
        <w:tc>
          <w:tcPr>
            <w:tcW w:w="2097" w:type="pct"/>
            <w:shd w:val="clear" w:color="auto" w:fill="auto"/>
            <w:vAlign w:val="center"/>
          </w:tcPr>
          <w:p w14:paraId="707FE76C" w14:textId="77777777" w:rsidR="006D6F49" w:rsidRPr="00450C18" w:rsidRDefault="00B66838" w:rsidP="004E0F45">
            <w:pPr>
              <w:numPr>
                <w:ilvl w:val="0"/>
                <w:numId w:val="4"/>
              </w:numPr>
              <w:tabs>
                <w:tab w:val="left" w:pos="432"/>
                <w:tab w:val="left" w:pos="2622"/>
              </w:tabs>
              <w:spacing w:after="120" w:line="360" w:lineRule="auto"/>
              <w:ind w:left="0" w:firstLine="0"/>
              <w:rPr>
                <w:rFonts w:ascii="Arial" w:hAnsi="Arial" w:cs="Arial"/>
                <w:color w:val="010000"/>
                <w:sz w:val="20"/>
              </w:rPr>
            </w:pPr>
            <w:r w:rsidRPr="00450C18">
              <w:rPr>
                <w:rFonts w:ascii="Arial" w:hAnsi="Arial" w:cs="Arial"/>
                <w:color w:val="010000"/>
                <w:sz w:val="20"/>
              </w:rPr>
              <w:t>Payables to the State budget:</w:t>
            </w:r>
          </w:p>
        </w:tc>
        <w:tc>
          <w:tcPr>
            <w:tcW w:w="2903" w:type="pct"/>
            <w:shd w:val="clear" w:color="auto" w:fill="auto"/>
            <w:vAlign w:val="center"/>
          </w:tcPr>
          <w:p w14:paraId="75DE00A9" w14:textId="77777777" w:rsidR="006D6F49" w:rsidRPr="00450C18" w:rsidRDefault="00B66838" w:rsidP="004E0F45">
            <w:pPr>
              <w:tabs>
                <w:tab w:val="left" w:pos="432"/>
              </w:tabs>
              <w:spacing w:after="120" w:line="360" w:lineRule="auto"/>
              <w:rPr>
                <w:rFonts w:ascii="Arial" w:hAnsi="Arial" w:cs="Arial"/>
                <w:color w:val="010000"/>
                <w:sz w:val="20"/>
              </w:rPr>
            </w:pPr>
            <w:r w:rsidRPr="00450C18">
              <w:rPr>
                <w:rFonts w:ascii="Arial" w:hAnsi="Arial" w:cs="Arial"/>
                <w:color w:val="010000"/>
                <w:sz w:val="20"/>
              </w:rPr>
              <w:t>VND 42,577 million</w:t>
            </w:r>
          </w:p>
        </w:tc>
      </w:tr>
      <w:tr w:rsidR="006D6F49" w:rsidRPr="00450C18" w14:paraId="46BC474B" w14:textId="77777777" w:rsidTr="004E0F45">
        <w:tc>
          <w:tcPr>
            <w:tcW w:w="2097" w:type="pct"/>
            <w:shd w:val="clear" w:color="auto" w:fill="auto"/>
            <w:vAlign w:val="center"/>
          </w:tcPr>
          <w:p w14:paraId="15B0945F" w14:textId="77777777" w:rsidR="006D6F49" w:rsidRPr="00450C18" w:rsidRDefault="00B66838" w:rsidP="004E0F45">
            <w:pPr>
              <w:numPr>
                <w:ilvl w:val="0"/>
                <w:numId w:val="4"/>
              </w:numPr>
              <w:tabs>
                <w:tab w:val="left" w:pos="432"/>
              </w:tabs>
              <w:spacing w:after="120" w:line="360" w:lineRule="auto"/>
              <w:ind w:left="0" w:firstLine="0"/>
              <w:rPr>
                <w:rFonts w:ascii="Arial" w:hAnsi="Arial" w:cs="Arial"/>
                <w:color w:val="010000"/>
                <w:sz w:val="20"/>
              </w:rPr>
            </w:pPr>
            <w:r w:rsidRPr="00450C18">
              <w:rPr>
                <w:rFonts w:ascii="Arial" w:hAnsi="Arial" w:cs="Arial"/>
                <w:color w:val="010000"/>
                <w:sz w:val="20"/>
              </w:rPr>
              <w:t>Dividends:</w:t>
            </w:r>
          </w:p>
        </w:tc>
        <w:tc>
          <w:tcPr>
            <w:tcW w:w="2903" w:type="pct"/>
            <w:shd w:val="clear" w:color="auto" w:fill="auto"/>
            <w:vAlign w:val="center"/>
          </w:tcPr>
          <w:p w14:paraId="3238C3CC" w14:textId="77777777" w:rsidR="006D6F49" w:rsidRPr="00450C18" w:rsidRDefault="00B66838" w:rsidP="004E0F45">
            <w:pPr>
              <w:tabs>
                <w:tab w:val="left" w:pos="432"/>
              </w:tabs>
              <w:spacing w:after="120" w:line="360" w:lineRule="auto"/>
              <w:rPr>
                <w:rFonts w:ascii="Arial" w:hAnsi="Arial" w:cs="Arial"/>
                <w:color w:val="010000"/>
                <w:sz w:val="20"/>
              </w:rPr>
            </w:pPr>
            <w:r w:rsidRPr="00450C18">
              <w:rPr>
                <w:rFonts w:ascii="Arial" w:hAnsi="Arial" w:cs="Arial"/>
                <w:color w:val="010000"/>
                <w:sz w:val="20"/>
              </w:rPr>
              <w:t xml:space="preserve">VND 2,032.8 million </w:t>
            </w:r>
          </w:p>
        </w:tc>
      </w:tr>
      <w:tr w:rsidR="00F941BB" w:rsidRPr="00450C18" w14:paraId="5C50C882" w14:textId="77777777" w:rsidTr="004E0F45">
        <w:tc>
          <w:tcPr>
            <w:tcW w:w="2097" w:type="pct"/>
            <w:shd w:val="clear" w:color="auto" w:fill="auto"/>
            <w:vAlign w:val="center"/>
          </w:tcPr>
          <w:p w14:paraId="35EB67B4" w14:textId="4DEB3B5A" w:rsidR="00F941BB" w:rsidRPr="00450C18" w:rsidRDefault="00F941BB" w:rsidP="004E0F45">
            <w:pPr>
              <w:numPr>
                <w:ilvl w:val="0"/>
                <w:numId w:val="4"/>
              </w:numPr>
              <w:tabs>
                <w:tab w:val="left" w:pos="432"/>
              </w:tabs>
              <w:spacing w:after="120" w:line="360" w:lineRule="auto"/>
              <w:ind w:left="0" w:firstLine="0"/>
              <w:rPr>
                <w:rFonts w:ascii="Arial" w:hAnsi="Arial" w:cs="Arial"/>
                <w:color w:val="010000"/>
                <w:sz w:val="20"/>
              </w:rPr>
            </w:pPr>
            <w:r w:rsidRPr="00450C18">
              <w:rPr>
                <w:rFonts w:ascii="Arial" w:hAnsi="Arial" w:cs="Arial"/>
                <w:color w:val="010000"/>
                <w:sz w:val="20"/>
              </w:rPr>
              <w:t>Average income of employees:</w:t>
            </w:r>
          </w:p>
        </w:tc>
        <w:tc>
          <w:tcPr>
            <w:tcW w:w="2903" w:type="pct"/>
            <w:shd w:val="clear" w:color="auto" w:fill="auto"/>
            <w:vAlign w:val="center"/>
          </w:tcPr>
          <w:p w14:paraId="22F6420E" w14:textId="0A854F1B" w:rsidR="00F941BB" w:rsidRPr="00450C18" w:rsidRDefault="00F941BB" w:rsidP="004E0F45">
            <w:pPr>
              <w:tabs>
                <w:tab w:val="left" w:pos="432"/>
              </w:tabs>
              <w:spacing w:after="120" w:line="360" w:lineRule="auto"/>
              <w:rPr>
                <w:rFonts w:ascii="Arial" w:hAnsi="Arial" w:cs="Arial"/>
                <w:color w:val="010000"/>
                <w:sz w:val="20"/>
              </w:rPr>
            </w:pPr>
            <w:r w:rsidRPr="00450C18">
              <w:rPr>
                <w:rFonts w:ascii="Arial" w:hAnsi="Arial" w:cs="Arial"/>
                <w:color w:val="010000"/>
                <w:sz w:val="20"/>
              </w:rPr>
              <w:t>VND 10.397 million/month</w:t>
            </w:r>
          </w:p>
        </w:tc>
      </w:tr>
    </w:tbl>
    <w:p w14:paraId="0B538254" w14:textId="77777777" w:rsidR="006D6F49" w:rsidRPr="00450C18" w:rsidRDefault="00B66838" w:rsidP="004E0F45">
      <w:pPr>
        <w:numPr>
          <w:ilvl w:val="0"/>
          <w:numId w:val="8"/>
        </w:numPr>
        <w:pBdr>
          <w:top w:val="nil"/>
          <w:left w:val="nil"/>
          <w:bottom w:val="nil"/>
          <w:right w:val="nil"/>
          <w:between w:val="nil"/>
        </w:pBdr>
        <w:tabs>
          <w:tab w:val="left" w:pos="149"/>
          <w:tab w:val="left" w:pos="432"/>
        </w:tabs>
        <w:spacing w:after="120" w:line="360" w:lineRule="auto"/>
        <w:rPr>
          <w:rFonts w:ascii="Arial" w:eastAsia="Arial" w:hAnsi="Arial" w:cs="Arial"/>
          <w:color w:val="010000"/>
          <w:sz w:val="20"/>
          <w:szCs w:val="20"/>
        </w:rPr>
      </w:pPr>
      <w:r w:rsidRPr="00450C18">
        <w:rPr>
          <w:rFonts w:ascii="Arial" w:hAnsi="Arial" w:cs="Arial"/>
          <w:color w:val="010000"/>
          <w:sz w:val="20"/>
        </w:rPr>
        <w:t>Production and business plan in 2024:</w:t>
      </w:r>
    </w:p>
    <w:tbl>
      <w:tblPr>
        <w:tblStyle w:val="a0"/>
        <w:tblW w:w="5000" w:type="pct"/>
        <w:tblBorders>
          <w:top w:val="nil"/>
          <w:left w:val="nil"/>
          <w:bottom w:val="nil"/>
          <w:right w:val="nil"/>
          <w:insideH w:val="nil"/>
          <w:insideV w:val="nil"/>
        </w:tblBorders>
        <w:tblLook w:val="0400" w:firstRow="0" w:lastRow="0" w:firstColumn="0" w:lastColumn="0" w:noHBand="0" w:noVBand="1"/>
      </w:tblPr>
      <w:tblGrid>
        <w:gridCol w:w="4131"/>
        <w:gridCol w:w="4896"/>
      </w:tblGrid>
      <w:tr w:rsidR="006D6F49" w:rsidRPr="00450C18" w14:paraId="36258C8B" w14:textId="77777777" w:rsidTr="004E0F45">
        <w:tc>
          <w:tcPr>
            <w:tcW w:w="2288" w:type="pct"/>
            <w:shd w:val="clear" w:color="auto" w:fill="auto"/>
            <w:vAlign w:val="center"/>
          </w:tcPr>
          <w:p w14:paraId="1DBB8E1C" w14:textId="77777777" w:rsidR="006D6F49" w:rsidRPr="00450C18" w:rsidRDefault="00B66838" w:rsidP="004E0F45">
            <w:pPr>
              <w:numPr>
                <w:ilvl w:val="0"/>
                <w:numId w:val="7"/>
              </w:numPr>
              <w:pBdr>
                <w:top w:val="nil"/>
                <w:left w:val="nil"/>
                <w:bottom w:val="nil"/>
                <w:right w:val="nil"/>
                <w:between w:val="nil"/>
              </w:pBdr>
              <w:tabs>
                <w:tab w:val="left" w:pos="158"/>
                <w:tab w:val="left" w:pos="432"/>
              </w:tabs>
              <w:spacing w:after="120" w:line="360" w:lineRule="auto"/>
              <w:rPr>
                <w:rFonts w:ascii="Arial" w:eastAsia="Arial" w:hAnsi="Arial" w:cs="Arial"/>
                <w:color w:val="010000"/>
                <w:sz w:val="20"/>
                <w:szCs w:val="20"/>
              </w:rPr>
            </w:pPr>
            <w:r w:rsidRPr="00450C18">
              <w:rPr>
                <w:rFonts w:ascii="Arial" w:hAnsi="Arial" w:cs="Arial"/>
                <w:color w:val="010000"/>
                <w:sz w:val="20"/>
              </w:rPr>
              <w:t>Total purchase volume:</w:t>
            </w:r>
          </w:p>
        </w:tc>
        <w:tc>
          <w:tcPr>
            <w:tcW w:w="2712" w:type="pct"/>
            <w:shd w:val="clear" w:color="auto" w:fill="auto"/>
            <w:vAlign w:val="center"/>
          </w:tcPr>
          <w:p w14:paraId="3F47877D" w14:textId="77777777" w:rsidR="006D6F49" w:rsidRPr="00450C18" w:rsidRDefault="00B66838" w:rsidP="004E0F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C18">
              <w:rPr>
                <w:rFonts w:ascii="Arial" w:hAnsi="Arial" w:cs="Arial"/>
                <w:color w:val="010000"/>
                <w:sz w:val="20"/>
              </w:rPr>
              <w:t>84,000 tons</w:t>
            </w:r>
          </w:p>
        </w:tc>
      </w:tr>
      <w:tr w:rsidR="006D6F49" w:rsidRPr="00450C18" w14:paraId="7B74F785" w14:textId="77777777" w:rsidTr="004E0F45">
        <w:tc>
          <w:tcPr>
            <w:tcW w:w="2288" w:type="pct"/>
            <w:shd w:val="clear" w:color="auto" w:fill="auto"/>
            <w:vAlign w:val="center"/>
          </w:tcPr>
          <w:p w14:paraId="598D8AEF" w14:textId="77777777" w:rsidR="006D6F49" w:rsidRPr="00450C18" w:rsidRDefault="00B66838" w:rsidP="004E0F45">
            <w:pPr>
              <w:numPr>
                <w:ilvl w:val="0"/>
                <w:numId w:val="7"/>
              </w:numPr>
              <w:pBdr>
                <w:top w:val="nil"/>
                <w:left w:val="nil"/>
                <w:bottom w:val="nil"/>
                <w:right w:val="nil"/>
                <w:between w:val="nil"/>
              </w:pBdr>
              <w:tabs>
                <w:tab w:val="left" w:pos="158"/>
                <w:tab w:val="left" w:pos="432"/>
              </w:tabs>
              <w:spacing w:after="120" w:line="360" w:lineRule="auto"/>
              <w:rPr>
                <w:rFonts w:ascii="Arial" w:eastAsia="Arial" w:hAnsi="Arial" w:cs="Arial"/>
                <w:color w:val="010000"/>
                <w:sz w:val="20"/>
                <w:szCs w:val="20"/>
              </w:rPr>
            </w:pPr>
            <w:r w:rsidRPr="00450C18">
              <w:rPr>
                <w:rFonts w:ascii="Arial" w:hAnsi="Arial" w:cs="Arial"/>
                <w:color w:val="010000"/>
                <w:sz w:val="20"/>
              </w:rPr>
              <w:t>Total purchase value:</w:t>
            </w:r>
          </w:p>
        </w:tc>
        <w:tc>
          <w:tcPr>
            <w:tcW w:w="2712" w:type="pct"/>
            <w:shd w:val="clear" w:color="auto" w:fill="auto"/>
            <w:vAlign w:val="center"/>
          </w:tcPr>
          <w:p w14:paraId="2617D5E2" w14:textId="77777777" w:rsidR="006D6F49" w:rsidRPr="00450C18" w:rsidRDefault="00B66838" w:rsidP="004E0F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C18">
              <w:rPr>
                <w:rFonts w:ascii="Arial" w:hAnsi="Arial" w:cs="Arial"/>
                <w:color w:val="010000"/>
                <w:sz w:val="20"/>
              </w:rPr>
              <w:t xml:space="preserve">VND 796,416 million </w:t>
            </w:r>
          </w:p>
        </w:tc>
      </w:tr>
      <w:tr w:rsidR="006D6F49" w:rsidRPr="00450C18" w14:paraId="56A245DF" w14:textId="77777777" w:rsidTr="004E0F45">
        <w:tc>
          <w:tcPr>
            <w:tcW w:w="2288" w:type="pct"/>
            <w:shd w:val="clear" w:color="auto" w:fill="auto"/>
            <w:vAlign w:val="center"/>
          </w:tcPr>
          <w:p w14:paraId="5148A0E7" w14:textId="067178DC" w:rsidR="006D6F49" w:rsidRPr="00450C18" w:rsidRDefault="00B66838" w:rsidP="004E0F45">
            <w:pPr>
              <w:numPr>
                <w:ilvl w:val="0"/>
                <w:numId w:val="7"/>
              </w:numPr>
              <w:pBdr>
                <w:top w:val="nil"/>
                <w:left w:val="nil"/>
                <w:bottom w:val="nil"/>
                <w:right w:val="nil"/>
                <w:between w:val="nil"/>
              </w:pBdr>
              <w:tabs>
                <w:tab w:val="left" w:pos="154"/>
                <w:tab w:val="left" w:pos="432"/>
              </w:tabs>
              <w:spacing w:after="120" w:line="360" w:lineRule="auto"/>
              <w:rPr>
                <w:rFonts w:ascii="Arial" w:eastAsia="Arial" w:hAnsi="Arial" w:cs="Arial"/>
                <w:color w:val="010000"/>
                <w:sz w:val="20"/>
                <w:szCs w:val="20"/>
              </w:rPr>
            </w:pPr>
            <w:r w:rsidRPr="00450C18">
              <w:rPr>
                <w:rFonts w:ascii="Arial" w:hAnsi="Arial" w:cs="Arial"/>
                <w:color w:val="010000"/>
                <w:sz w:val="20"/>
              </w:rPr>
              <w:t>Total sales volume</w:t>
            </w:r>
            <w:r w:rsidR="0042076D" w:rsidRPr="00450C18">
              <w:rPr>
                <w:rFonts w:ascii="Arial" w:hAnsi="Arial" w:cs="Arial"/>
                <w:color w:val="010000"/>
                <w:sz w:val="20"/>
              </w:rPr>
              <w:t>:</w:t>
            </w:r>
          </w:p>
        </w:tc>
        <w:tc>
          <w:tcPr>
            <w:tcW w:w="2712" w:type="pct"/>
            <w:shd w:val="clear" w:color="auto" w:fill="auto"/>
            <w:vAlign w:val="center"/>
          </w:tcPr>
          <w:p w14:paraId="6A5193DC" w14:textId="77777777" w:rsidR="006D6F49" w:rsidRPr="00450C18" w:rsidRDefault="00B66838" w:rsidP="004E0F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C18">
              <w:rPr>
                <w:rFonts w:ascii="Arial" w:hAnsi="Arial" w:cs="Arial"/>
                <w:color w:val="010000"/>
                <w:sz w:val="20"/>
              </w:rPr>
              <w:t>79,000 tons</w:t>
            </w:r>
          </w:p>
        </w:tc>
      </w:tr>
      <w:tr w:rsidR="006D6F49" w:rsidRPr="00450C18" w14:paraId="719482E4" w14:textId="77777777" w:rsidTr="004E0F45">
        <w:tc>
          <w:tcPr>
            <w:tcW w:w="2288" w:type="pct"/>
            <w:shd w:val="clear" w:color="auto" w:fill="auto"/>
            <w:vAlign w:val="center"/>
          </w:tcPr>
          <w:p w14:paraId="2A5F6BE2" w14:textId="4A363F80" w:rsidR="006D6F49" w:rsidRPr="00450C18" w:rsidRDefault="00B66838" w:rsidP="004E0F45">
            <w:pPr>
              <w:numPr>
                <w:ilvl w:val="0"/>
                <w:numId w:val="7"/>
              </w:numPr>
              <w:pBdr>
                <w:top w:val="nil"/>
                <w:left w:val="nil"/>
                <w:bottom w:val="nil"/>
                <w:right w:val="nil"/>
                <w:between w:val="nil"/>
              </w:pBdr>
              <w:tabs>
                <w:tab w:val="left" w:pos="158"/>
                <w:tab w:val="left" w:pos="432"/>
              </w:tabs>
              <w:spacing w:after="120" w:line="360" w:lineRule="auto"/>
              <w:rPr>
                <w:rFonts w:ascii="Arial" w:eastAsia="Arial" w:hAnsi="Arial" w:cs="Arial"/>
                <w:color w:val="010000"/>
                <w:sz w:val="20"/>
                <w:szCs w:val="20"/>
              </w:rPr>
            </w:pPr>
            <w:r w:rsidRPr="00450C18">
              <w:rPr>
                <w:rFonts w:ascii="Arial" w:hAnsi="Arial" w:cs="Arial"/>
                <w:color w:val="010000"/>
                <w:sz w:val="20"/>
              </w:rPr>
              <w:t>Total revenue</w:t>
            </w:r>
            <w:r w:rsidR="0042076D" w:rsidRPr="00450C18">
              <w:rPr>
                <w:rFonts w:ascii="Arial" w:hAnsi="Arial" w:cs="Arial"/>
                <w:color w:val="010000"/>
                <w:sz w:val="20"/>
              </w:rPr>
              <w:t>:</w:t>
            </w:r>
          </w:p>
        </w:tc>
        <w:tc>
          <w:tcPr>
            <w:tcW w:w="2712" w:type="pct"/>
            <w:shd w:val="clear" w:color="auto" w:fill="auto"/>
            <w:vAlign w:val="center"/>
          </w:tcPr>
          <w:p w14:paraId="29BA77D9" w14:textId="77777777" w:rsidR="006D6F49" w:rsidRPr="00450C18" w:rsidRDefault="00B66838" w:rsidP="004E0F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C18">
              <w:rPr>
                <w:rFonts w:ascii="Arial" w:hAnsi="Arial" w:cs="Arial"/>
                <w:color w:val="010000"/>
                <w:sz w:val="20"/>
              </w:rPr>
              <w:t xml:space="preserve">VND 822,120 million </w:t>
            </w:r>
          </w:p>
        </w:tc>
      </w:tr>
      <w:tr w:rsidR="006D6F49" w:rsidRPr="00450C18" w14:paraId="744D1E0F" w14:textId="77777777" w:rsidTr="004E0F45">
        <w:tc>
          <w:tcPr>
            <w:tcW w:w="2288" w:type="pct"/>
            <w:shd w:val="clear" w:color="auto" w:fill="auto"/>
            <w:vAlign w:val="center"/>
          </w:tcPr>
          <w:p w14:paraId="696E5478" w14:textId="1E2EF874" w:rsidR="006D6F49" w:rsidRPr="00450C18" w:rsidRDefault="00B66838" w:rsidP="004E0F45">
            <w:pPr>
              <w:numPr>
                <w:ilvl w:val="0"/>
                <w:numId w:val="7"/>
              </w:numPr>
              <w:pBdr>
                <w:top w:val="nil"/>
                <w:left w:val="nil"/>
                <w:bottom w:val="nil"/>
                <w:right w:val="nil"/>
                <w:between w:val="nil"/>
              </w:pBdr>
              <w:tabs>
                <w:tab w:val="left" w:pos="158"/>
                <w:tab w:val="left" w:pos="432"/>
              </w:tabs>
              <w:spacing w:after="120" w:line="360" w:lineRule="auto"/>
              <w:rPr>
                <w:rFonts w:ascii="Arial" w:eastAsia="Arial" w:hAnsi="Arial" w:cs="Arial"/>
                <w:color w:val="010000"/>
                <w:sz w:val="20"/>
                <w:szCs w:val="20"/>
              </w:rPr>
            </w:pPr>
            <w:r w:rsidRPr="00450C18">
              <w:rPr>
                <w:rFonts w:ascii="Arial" w:hAnsi="Arial" w:cs="Arial"/>
                <w:color w:val="010000"/>
                <w:sz w:val="20"/>
              </w:rPr>
              <w:t>Profit before tax</w:t>
            </w:r>
            <w:r w:rsidR="0042076D" w:rsidRPr="00450C18">
              <w:rPr>
                <w:rFonts w:ascii="Arial" w:hAnsi="Arial" w:cs="Arial"/>
                <w:color w:val="010000"/>
                <w:sz w:val="20"/>
              </w:rPr>
              <w:t>:</w:t>
            </w:r>
          </w:p>
        </w:tc>
        <w:tc>
          <w:tcPr>
            <w:tcW w:w="2712" w:type="pct"/>
            <w:shd w:val="clear" w:color="auto" w:fill="auto"/>
            <w:vAlign w:val="center"/>
          </w:tcPr>
          <w:p w14:paraId="48AB724F" w14:textId="77777777" w:rsidR="006D6F49" w:rsidRPr="00450C18" w:rsidRDefault="00B66838" w:rsidP="004E0F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C18">
              <w:rPr>
                <w:rFonts w:ascii="Arial" w:hAnsi="Arial" w:cs="Arial"/>
                <w:color w:val="010000"/>
                <w:sz w:val="20"/>
              </w:rPr>
              <w:t>VND 4,080 million</w:t>
            </w:r>
          </w:p>
        </w:tc>
      </w:tr>
      <w:tr w:rsidR="006D6F49" w:rsidRPr="00450C18" w14:paraId="4B2E29B2" w14:textId="77777777" w:rsidTr="004E0F45">
        <w:tc>
          <w:tcPr>
            <w:tcW w:w="2288" w:type="pct"/>
            <w:shd w:val="clear" w:color="auto" w:fill="auto"/>
            <w:vAlign w:val="center"/>
          </w:tcPr>
          <w:p w14:paraId="4D870BBA" w14:textId="0AFE43A6" w:rsidR="006D6F49" w:rsidRPr="00450C18" w:rsidRDefault="00B66838" w:rsidP="004E0F45">
            <w:pPr>
              <w:numPr>
                <w:ilvl w:val="0"/>
                <w:numId w:val="7"/>
              </w:numPr>
              <w:pBdr>
                <w:top w:val="nil"/>
                <w:left w:val="nil"/>
                <w:bottom w:val="nil"/>
                <w:right w:val="nil"/>
                <w:between w:val="nil"/>
              </w:pBdr>
              <w:tabs>
                <w:tab w:val="left" w:pos="158"/>
                <w:tab w:val="left" w:pos="432"/>
              </w:tabs>
              <w:spacing w:after="120" w:line="360" w:lineRule="auto"/>
              <w:rPr>
                <w:rFonts w:ascii="Arial" w:eastAsia="Arial" w:hAnsi="Arial" w:cs="Arial"/>
                <w:color w:val="010000"/>
                <w:sz w:val="20"/>
                <w:szCs w:val="20"/>
              </w:rPr>
            </w:pPr>
            <w:r w:rsidRPr="00450C18">
              <w:rPr>
                <w:rFonts w:ascii="Arial" w:hAnsi="Arial" w:cs="Arial"/>
                <w:color w:val="010000"/>
                <w:sz w:val="20"/>
              </w:rPr>
              <w:t>Profit after tax</w:t>
            </w:r>
            <w:r w:rsidR="0042076D" w:rsidRPr="00450C18">
              <w:rPr>
                <w:rFonts w:ascii="Arial" w:hAnsi="Arial" w:cs="Arial"/>
                <w:color w:val="010000"/>
                <w:sz w:val="20"/>
              </w:rPr>
              <w:t>:</w:t>
            </w:r>
          </w:p>
        </w:tc>
        <w:tc>
          <w:tcPr>
            <w:tcW w:w="2712" w:type="pct"/>
            <w:shd w:val="clear" w:color="auto" w:fill="auto"/>
            <w:vAlign w:val="center"/>
          </w:tcPr>
          <w:p w14:paraId="50D9B629" w14:textId="77777777" w:rsidR="006D6F49" w:rsidRPr="00450C18" w:rsidRDefault="00B66838" w:rsidP="004E0F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C18">
              <w:rPr>
                <w:rFonts w:ascii="Arial" w:hAnsi="Arial" w:cs="Arial"/>
                <w:color w:val="010000"/>
                <w:sz w:val="20"/>
              </w:rPr>
              <w:t xml:space="preserve">VND 3,264 million </w:t>
            </w:r>
          </w:p>
        </w:tc>
      </w:tr>
      <w:tr w:rsidR="006D6F49" w:rsidRPr="00450C18" w14:paraId="0E0CDE5B" w14:textId="77777777" w:rsidTr="004E0F45">
        <w:tc>
          <w:tcPr>
            <w:tcW w:w="2288" w:type="pct"/>
            <w:shd w:val="clear" w:color="auto" w:fill="auto"/>
            <w:vAlign w:val="center"/>
          </w:tcPr>
          <w:p w14:paraId="45027398" w14:textId="5775F20C" w:rsidR="006D6F49" w:rsidRPr="00450C18" w:rsidRDefault="00B66838" w:rsidP="004E0F45">
            <w:pPr>
              <w:numPr>
                <w:ilvl w:val="0"/>
                <w:numId w:val="7"/>
              </w:numPr>
              <w:pBdr>
                <w:top w:val="nil"/>
                <w:left w:val="nil"/>
                <w:bottom w:val="nil"/>
                <w:right w:val="nil"/>
                <w:between w:val="nil"/>
              </w:pBdr>
              <w:tabs>
                <w:tab w:val="left" w:pos="154"/>
                <w:tab w:val="left" w:pos="432"/>
              </w:tabs>
              <w:spacing w:after="120" w:line="360" w:lineRule="auto"/>
              <w:rPr>
                <w:rFonts w:ascii="Arial" w:eastAsia="Arial" w:hAnsi="Arial" w:cs="Arial"/>
                <w:color w:val="010000"/>
                <w:sz w:val="20"/>
                <w:szCs w:val="20"/>
              </w:rPr>
            </w:pPr>
            <w:r w:rsidRPr="00450C18">
              <w:rPr>
                <w:rFonts w:ascii="Arial" w:hAnsi="Arial" w:cs="Arial"/>
                <w:color w:val="010000"/>
                <w:sz w:val="20"/>
              </w:rPr>
              <w:t>Payables to the State budget</w:t>
            </w:r>
            <w:r w:rsidR="0042076D" w:rsidRPr="00450C18">
              <w:rPr>
                <w:rFonts w:ascii="Arial" w:hAnsi="Arial" w:cs="Arial"/>
                <w:color w:val="010000"/>
                <w:sz w:val="20"/>
              </w:rPr>
              <w:t>:</w:t>
            </w:r>
          </w:p>
        </w:tc>
        <w:tc>
          <w:tcPr>
            <w:tcW w:w="2712" w:type="pct"/>
            <w:shd w:val="clear" w:color="auto" w:fill="auto"/>
            <w:vAlign w:val="center"/>
          </w:tcPr>
          <w:p w14:paraId="0A197792" w14:textId="77777777" w:rsidR="006D6F49" w:rsidRPr="00450C18" w:rsidRDefault="00B66838" w:rsidP="004E0F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C18">
              <w:rPr>
                <w:rFonts w:ascii="Arial" w:hAnsi="Arial" w:cs="Arial"/>
                <w:color w:val="010000"/>
                <w:sz w:val="20"/>
              </w:rPr>
              <w:t>VND 41,126 million</w:t>
            </w:r>
          </w:p>
        </w:tc>
      </w:tr>
    </w:tbl>
    <w:p w14:paraId="1EBAF305" w14:textId="62D39FC8" w:rsidR="006D6F49" w:rsidRPr="00450C18" w:rsidRDefault="00B66838" w:rsidP="004E0F45">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C18">
        <w:rPr>
          <w:rFonts w:ascii="Arial" w:hAnsi="Arial" w:cs="Arial"/>
          <w:color w:val="010000"/>
          <w:sz w:val="20"/>
        </w:rPr>
        <w:t>Average income of employees</w:t>
      </w:r>
      <w:r w:rsidR="0042076D" w:rsidRPr="00450C18">
        <w:rPr>
          <w:rFonts w:ascii="Arial" w:hAnsi="Arial" w:cs="Arial"/>
          <w:color w:val="010000"/>
          <w:sz w:val="20"/>
        </w:rPr>
        <w:t>:</w:t>
      </w:r>
      <w:r w:rsidRPr="00450C18">
        <w:rPr>
          <w:rFonts w:ascii="Arial" w:hAnsi="Arial" w:cs="Arial"/>
          <w:color w:val="010000"/>
          <w:sz w:val="20"/>
        </w:rPr>
        <w:t xml:space="preserve"> VND 10.73 million/person/month</w:t>
      </w:r>
    </w:p>
    <w:p w14:paraId="0509D5DF" w14:textId="6BA5AB4C" w:rsidR="006D6F49" w:rsidRPr="00450C18" w:rsidRDefault="00B66838" w:rsidP="004E0F45">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C18">
        <w:rPr>
          <w:rFonts w:ascii="Arial" w:hAnsi="Arial" w:cs="Arial"/>
          <w:color w:val="010000"/>
          <w:sz w:val="20"/>
        </w:rPr>
        <w:t>Dividends (expected 50% of profit after tax)</w:t>
      </w:r>
      <w:r w:rsidR="0042076D" w:rsidRPr="00450C18">
        <w:rPr>
          <w:rFonts w:ascii="Arial" w:hAnsi="Arial" w:cs="Arial"/>
          <w:color w:val="010000"/>
          <w:sz w:val="20"/>
        </w:rPr>
        <w:t>:</w:t>
      </w:r>
      <w:r w:rsidRPr="00450C18">
        <w:rPr>
          <w:rFonts w:ascii="Arial" w:hAnsi="Arial" w:cs="Arial"/>
          <w:color w:val="010000"/>
          <w:sz w:val="20"/>
        </w:rPr>
        <w:t xml:space="preserve"> VND 1,632 million</w:t>
      </w:r>
    </w:p>
    <w:p w14:paraId="655E7153" w14:textId="77777777" w:rsidR="006D6F49" w:rsidRPr="00450C18" w:rsidRDefault="00B66838" w:rsidP="004E0F45">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C18">
        <w:rPr>
          <w:rFonts w:ascii="Arial" w:hAnsi="Arial" w:cs="Arial"/>
          <w:color w:val="010000"/>
          <w:sz w:val="20"/>
        </w:rPr>
        <w:t>Authorize the Board of Directors to decide on adjusting the targets of production and business plan in 2024 according to the actual situation (if any).</w:t>
      </w:r>
    </w:p>
    <w:p w14:paraId="732E6886" w14:textId="77777777" w:rsidR="006D6F49" w:rsidRPr="00450C18" w:rsidRDefault="00B66838" w:rsidP="004E0F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C18">
        <w:rPr>
          <w:rFonts w:ascii="Arial" w:hAnsi="Arial" w:cs="Arial"/>
          <w:color w:val="010000"/>
          <w:sz w:val="20"/>
        </w:rPr>
        <w:t>‎‎Article 2. Approve the activities results of the Board of Directors in 2023 and the Plan for 2024.</w:t>
      </w:r>
    </w:p>
    <w:p w14:paraId="566CC1AF" w14:textId="77777777" w:rsidR="006D6F49" w:rsidRPr="00450C18" w:rsidRDefault="00B66838" w:rsidP="004E0F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C18">
        <w:rPr>
          <w:rFonts w:ascii="Arial" w:hAnsi="Arial" w:cs="Arial"/>
          <w:color w:val="010000"/>
          <w:sz w:val="20"/>
        </w:rPr>
        <w:t xml:space="preserve">The Annual General Meeting of Shareholders 2024 of Vinafood 1 Flour Joint Stock Company </w:t>
      </w:r>
      <w:r w:rsidRPr="00450C18">
        <w:rPr>
          <w:rFonts w:ascii="Arial" w:hAnsi="Arial" w:cs="Arial"/>
          <w:color w:val="010000"/>
          <w:sz w:val="20"/>
        </w:rPr>
        <w:lastRenderedPageBreak/>
        <w:t xml:space="preserve">approved the </w:t>
      </w:r>
      <w:r w:rsidR="00E73F9C" w:rsidRPr="00450C18">
        <w:rPr>
          <w:rFonts w:ascii="Arial" w:hAnsi="Arial" w:cs="Arial"/>
          <w:color w:val="010000"/>
          <w:sz w:val="20"/>
        </w:rPr>
        <w:t xml:space="preserve">results of </w:t>
      </w:r>
      <w:r w:rsidRPr="00450C18">
        <w:rPr>
          <w:rFonts w:ascii="Arial" w:hAnsi="Arial" w:cs="Arial"/>
          <w:color w:val="010000"/>
          <w:sz w:val="20"/>
        </w:rPr>
        <w:t xml:space="preserve">activities of the Board of Directors in 2023 and the Plan for 2024 </w:t>
      </w:r>
    </w:p>
    <w:p w14:paraId="254F2AB8" w14:textId="77777777" w:rsidR="006D6F49" w:rsidRPr="00450C18" w:rsidRDefault="00B66838" w:rsidP="004E0F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C18">
        <w:rPr>
          <w:rFonts w:ascii="Arial" w:hAnsi="Arial" w:cs="Arial"/>
          <w:color w:val="010000"/>
          <w:sz w:val="20"/>
        </w:rPr>
        <w:t>‎‎Article 3. Approve the results of the Audited Financial Statements 2023.</w:t>
      </w:r>
    </w:p>
    <w:p w14:paraId="6926AE02" w14:textId="42755915" w:rsidR="006D6F49" w:rsidRPr="00450C18" w:rsidRDefault="00B66838" w:rsidP="004E0F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C18">
        <w:rPr>
          <w:rFonts w:ascii="Arial" w:hAnsi="Arial" w:cs="Arial"/>
          <w:color w:val="010000"/>
          <w:sz w:val="20"/>
        </w:rPr>
        <w:t>The Annual General Meeting of Shareholders 2024 of Vinafood 1 Flour Joint Stock Company approved the results of the Financial Statements 2023 audited by Anviet Auditing Company Limited with main financial targets as follows</w:t>
      </w:r>
    </w:p>
    <w:tbl>
      <w:tblPr>
        <w:tblStyle w:val="a1"/>
        <w:tblW w:w="5000" w:type="pct"/>
        <w:tblBorders>
          <w:top w:val="nil"/>
          <w:left w:val="nil"/>
          <w:bottom w:val="nil"/>
          <w:right w:val="nil"/>
          <w:insideH w:val="nil"/>
          <w:insideV w:val="nil"/>
        </w:tblBorders>
        <w:tblLook w:val="0400" w:firstRow="0" w:lastRow="0" w:firstColumn="0" w:lastColumn="0" w:noHBand="0" w:noVBand="1"/>
      </w:tblPr>
      <w:tblGrid>
        <w:gridCol w:w="2968"/>
        <w:gridCol w:w="6059"/>
      </w:tblGrid>
      <w:tr w:rsidR="006D6F49" w:rsidRPr="00450C18" w14:paraId="2CF58B32" w14:textId="77777777" w:rsidTr="004E0F45">
        <w:tc>
          <w:tcPr>
            <w:tcW w:w="1644" w:type="pct"/>
            <w:shd w:val="clear" w:color="auto" w:fill="auto"/>
            <w:vAlign w:val="center"/>
          </w:tcPr>
          <w:p w14:paraId="0BEE626A" w14:textId="100EEF70" w:rsidR="006D6F49" w:rsidRPr="00450C18" w:rsidRDefault="00B66838" w:rsidP="004E0F45">
            <w:pPr>
              <w:numPr>
                <w:ilvl w:val="0"/>
                <w:numId w:val="4"/>
              </w:numPr>
              <w:pBdr>
                <w:top w:val="nil"/>
                <w:left w:val="nil"/>
                <w:bottom w:val="nil"/>
                <w:right w:val="nil"/>
                <w:between w:val="nil"/>
              </w:pBdr>
              <w:tabs>
                <w:tab w:val="left" w:pos="432"/>
                <w:tab w:val="left" w:pos="2552"/>
              </w:tabs>
              <w:spacing w:after="120" w:line="360" w:lineRule="auto"/>
              <w:ind w:left="0" w:firstLine="0"/>
              <w:rPr>
                <w:rFonts w:ascii="Arial" w:eastAsia="Arial" w:hAnsi="Arial" w:cs="Arial"/>
                <w:color w:val="010000"/>
                <w:sz w:val="20"/>
                <w:szCs w:val="20"/>
              </w:rPr>
            </w:pPr>
            <w:r w:rsidRPr="00450C18">
              <w:rPr>
                <w:rFonts w:ascii="Arial" w:hAnsi="Arial" w:cs="Arial"/>
                <w:color w:val="010000"/>
                <w:sz w:val="20"/>
              </w:rPr>
              <w:t>Short-term assets</w:t>
            </w:r>
            <w:r w:rsidR="0083777A" w:rsidRPr="00450C18">
              <w:rPr>
                <w:rFonts w:ascii="Arial" w:hAnsi="Arial" w:cs="Arial"/>
                <w:color w:val="010000"/>
                <w:sz w:val="20"/>
              </w:rPr>
              <w:t>:</w:t>
            </w:r>
          </w:p>
        </w:tc>
        <w:tc>
          <w:tcPr>
            <w:tcW w:w="3356" w:type="pct"/>
            <w:shd w:val="clear" w:color="auto" w:fill="auto"/>
            <w:vAlign w:val="center"/>
          </w:tcPr>
          <w:p w14:paraId="53422E42" w14:textId="77777777" w:rsidR="006D6F49" w:rsidRPr="00450C18" w:rsidRDefault="00B66838" w:rsidP="004E0F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C18">
              <w:rPr>
                <w:rFonts w:ascii="Arial" w:hAnsi="Arial" w:cs="Arial"/>
                <w:color w:val="010000"/>
                <w:sz w:val="20"/>
              </w:rPr>
              <w:t>VND 389,090,012,467</w:t>
            </w:r>
          </w:p>
        </w:tc>
      </w:tr>
      <w:tr w:rsidR="006D6F49" w:rsidRPr="00450C18" w14:paraId="3FB885F2" w14:textId="77777777" w:rsidTr="004E0F45">
        <w:tc>
          <w:tcPr>
            <w:tcW w:w="1644" w:type="pct"/>
            <w:shd w:val="clear" w:color="auto" w:fill="auto"/>
            <w:vAlign w:val="center"/>
          </w:tcPr>
          <w:p w14:paraId="62E9C23F" w14:textId="1C7FB6C9" w:rsidR="006D6F49" w:rsidRPr="00450C18" w:rsidRDefault="00B66838" w:rsidP="004E0F45">
            <w:pPr>
              <w:numPr>
                <w:ilvl w:val="0"/>
                <w:numId w:val="4"/>
              </w:numPr>
              <w:pBdr>
                <w:top w:val="nil"/>
                <w:left w:val="nil"/>
                <w:bottom w:val="nil"/>
                <w:right w:val="nil"/>
                <w:between w:val="nil"/>
              </w:pBdr>
              <w:tabs>
                <w:tab w:val="left" w:pos="432"/>
                <w:tab w:val="left" w:pos="2552"/>
              </w:tabs>
              <w:spacing w:after="120" w:line="360" w:lineRule="auto"/>
              <w:ind w:left="0" w:firstLine="0"/>
              <w:rPr>
                <w:rFonts w:ascii="Arial" w:eastAsia="Arial" w:hAnsi="Arial" w:cs="Arial"/>
                <w:color w:val="010000"/>
                <w:sz w:val="20"/>
                <w:szCs w:val="20"/>
              </w:rPr>
            </w:pPr>
            <w:r w:rsidRPr="00450C18">
              <w:rPr>
                <w:rFonts w:ascii="Arial" w:hAnsi="Arial" w:cs="Arial"/>
                <w:color w:val="010000"/>
                <w:sz w:val="20"/>
              </w:rPr>
              <w:t>Long-term assets</w:t>
            </w:r>
            <w:r w:rsidR="0083777A" w:rsidRPr="00450C18">
              <w:rPr>
                <w:rFonts w:ascii="Arial" w:hAnsi="Arial" w:cs="Arial"/>
                <w:color w:val="010000"/>
                <w:sz w:val="20"/>
              </w:rPr>
              <w:t>:</w:t>
            </w:r>
          </w:p>
        </w:tc>
        <w:tc>
          <w:tcPr>
            <w:tcW w:w="3356" w:type="pct"/>
            <w:shd w:val="clear" w:color="auto" w:fill="auto"/>
            <w:vAlign w:val="center"/>
          </w:tcPr>
          <w:p w14:paraId="3CCDD6DC" w14:textId="77777777" w:rsidR="006D6F49" w:rsidRPr="00450C18" w:rsidRDefault="00B66838" w:rsidP="004E0F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C18">
              <w:rPr>
                <w:rFonts w:ascii="Arial" w:hAnsi="Arial" w:cs="Arial"/>
                <w:color w:val="010000"/>
                <w:sz w:val="20"/>
              </w:rPr>
              <w:t>VND 94,190,832,643</w:t>
            </w:r>
          </w:p>
        </w:tc>
      </w:tr>
      <w:tr w:rsidR="006D6F49" w:rsidRPr="00450C18" w14:paraId="36C457D9" w14:textId="77777777" w:rsidTr="004E0F45">
        <w:tc>
          <w:tcPr>
            <w:tcW w:w="1644" w:type="pct"/>
            <w:shd w:val="clear" w:color="auto" w:fill="auto"/>
            <w:vAlign w:val="center"/>
          </w:tcPr>
          <w:p w14:paraId="24F76E75" w14:textId="6A93F271" w:rsidR="006D6F49" w:rsidRPr="00450C18" w:rsidRDefault="00B66838" w:rsidP="004E0F45">
            <w:pPr>
              <w:numPr>
                <w:ilvl w:val="0"/>
                <w:numId w:val="4"/>
              </w:numPr>
              <w:pBdr>
                <w:top w:val="nil"/>
                <w:left w:val="nil"/>
                <w:bottom w:val="nil"/>
                <w:right w:val="nil"/>
                <w:between w:val="nil"/>
              </w:pBdr>
              <w:tabs>
                <w:tab w:val="left" w:pos="432"/>
                <w:tab w:val="left" w:pos="2552"/>
              </w:tabs>
              <w:spacing w:after="120" w:line="360" w:lineRule="auto"/>
              <w:ind w:left="0" w:firstLine="0"/>
              <w:rPr>
                <w:rFonts w:ascii="Arial" w:eastAsia="Arial" w:hAnsi="Arial" w:cs="Arial"/>
                <w:color w:val="010000"/>
                <w:sz w:val="20"/>
                <w:szCs w:val="20"/>
              </w:rPr>
            </w:pPr>
            <w:r w:rsidRPr="00450C18">
              <w:rPr>
                <w:rFonts w:ascii="Arial" w:hAnsi="Arial" w:cs="Arial"/>
                <w:color w:val="010000"/>
                <w:sz w:val="20"/>
              </w:rPr>
              <w:t>Payables</w:t>
            </w:r>
            <w:r w:rsidR="0083777A" w:rsidRPr="00450C18">
              <w:rPr>
                <w:rFonts w:ascii="Arial" w:hAnsi="Arial" w:cs="Arial"/>
                <w:color w:val="010000"/>
                <w:sz w:val="20"/>
              </w:rPr>
              <w:t>:</w:t>
            </w:r>
          </w:p>
        </w:tc>
        <w:tc>
          <w:tcPr>
            <w:tcW w:w="3356" w:type="pct"/>
            <w:shd w:val="clear" w:color="auto" w:fill="auto"/>
            <w:vAlign w:val="center"/>
          </w:tcPr>
          <w:p w14:paraId="4355344D" w14:textId="77777777" w:rsidR="006D6F49" w:rsidRPr="00450C18" w:rsidRDefault="00B66838" w:rsidP="004E0F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C18">
              <w:rPr>
                <w:rFonts w:ascii="Arial" w:hAnsi="Arial" w:cs="Arial"/>
                <w:color w:val="010000"/>
                <w:sz w:val="20"/>
              </w:rPr>
              <w:t>VND 235,938,870,508</w:t>
            </w:r>
          </w:p>
        </w:tc>
      </w:tr>
      <w:tr w:rsidR="006D6F49" w:rsidRPr="00450C18" w14:paraId="72582E0D" w14:textId="77777777" w:rsidTr="004E0F45">
        <w:tc>
          <w:tcPr>
            <w:tcW w:w="1644" w:type="pct"/>
            <w:shd w:val="clear" w:color="auto" w:fill="auto"/>
            <w:vAlign w:val="center"/>
          </w:tcPr>
          <w:p w14:paraId="256AEC90" w14:textId="48C8C672" w:rsidR="006D6F49" w:rsidRPr="00450C18" w:rsidRDefault="00B66838" w:rsidP="004E0F45">
            <w:pPr>
              <w:numPr>
                <w:ilvl w:val="0"/>
                <w:numId w:val="4"/>
              </w:numPr>
              <w:pBdr>
                <w:top w:val="nil"/>
                <w:left w:val="nil"/>
                <w:bottom w:val="nil"/>
                <w:right w:val="nil"/>
                <w:between w:val="nil"/>
              </w:pBdr>
              <w:tabs>
                <w:tab w:val="left" w:pos="432"/>
                <w:tab w:val="left" w:pos="2552"/>
              </w:tabs>
              <w:spacing w:after="120" w:line="360" w:lineRule="auto"/>
              <w:ind w:left="0" w:firstLine="0"/>
              <w:rPr>
                <w:rFonts w:ascii="Arial" w:eastAsia="Arial" w:hAnsi="Arial" w:cs="Arial"/>
                <w:color w:val="010000"/>
                <w:sz w:val="20"/>
                <w:szCs w:val="20"/>
              </w:rPr>
            </w:pPr>
            <w:r w:rsidRPr="00450C18">
              <w:rPr>
                <w:rFonts w:ascii="Arial" w:hAnsi="Arial" w:cs="Arial"/>
                <w:color w:val="010000"/>
                <w:sz w:val="20"/>
              </w:rPr>
              <w:t>Owners’ equity</w:t>
            </w:r>
            <w:r w:rsidR="0083777A" w:rsidRPr="00450C18">
              <w:rPr>
                <w:rFonts w:ascii="Arial" w:hAnsi="Arial" w:cs="Arial"/>
                <w:color w:val="010000"/>
                <w:sz w:val="20"/>
              </w:rPr>
              <w:t>:</w:t>
            </w:r>
          </w:p>
        </w:tc>
        <w:tc>
          <w:tcPr>
            <w:tcW w:w="3356" w:type="pct"/>
            <w:shd w:val="clear" w:color="auto" w:fill="auto"/>
            <w:vAlign w:val="center"/>
          </w:tcPr>
          <w:p w14:paraId="120203CB" w14:textId="77777777" w:rsidR="006D6F49" w:rsidRPr="00450C18" w:rsidRDefault="00B66838" w:rsidP="004E0F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C18">
              <w:rPr>
                <w:rFonts w:ascii="Arial" w:hAnsi="Arial" w:cs="Arial"/>
                <w:color w:val="010000"/>
                <w:sz w:val="20"/>
              </w:rPr>
              <w:t>VND 247,341,974,602</w:t>
            </w:r>
          </w:p>
        </w:tc>
      </w:tr>
      <w:tr w:rsidR="006D6F49" w:rsidRPr="00450C18" w14:paraId="71C28C7B" w14:textId="77777777" w:rsidTr="004E0F45">
        <w:tc>
          <w:tcPr>
            <w:tcW w:w="1644" w:type="pct"/>
            <w:shd w:val="clear" w:color="auto" w:fill="auto"/>
            <w:vAlign w:val="center"/>
          </w:tcPr>
          <w:p w14:paraId="3BEBA87A" w14:textId="5971E4BF" w:rsidR="006D6F49" w:rsidRPr="00450C18" w:rsidRDefault="00B66838" w:rsidP="004E0F45">
            <w:pPr>
              <w:numPr>
                <w:ilvl w:val="0"/>
                <w:numId w:val="4"/>
              </w:numPr>
              <w:pBdr>
                <w:top w:val="nil"/>
                <w:left w:val="nil"/>
                <w:bottom w:val="nil"/>
                <w:right w:val="nil"/>
                <w:between w:val="nil"/>
              </w:pBdr>
              <w:tabs>
                <w:tab w:val="left" w:pos="432"/>
                <w:tab w:val="left" w:pos="2552"/>
              </w:tabs>
              <w:spacing w:after="120" w:line="360" w:lineRule="auto"/>
              <w:ind w:left="0" w:firstLine="0"/>
              <w:rPr>
                <w:rFonts w:ascii="Arial" w:eastAsia="Arial" w:hAnsi="Arial" w:cs="Arial"/>
                <w:color w:val="010000"/>
                <w:sz w:val="20"/>
                <w:szCs w:val="20"/>
              </w:rPr>
            </w:pPr>
            <w:r w:rsidRPr="00450C18">
              <w:rPr>
                <w:rFonts w:ascii="Arial" w:hAnsi="Arial" w:cs="Arial"/>
                <w:color w:val="010000"/>
                <w:sz w:val="20"/>
              </w:rPr>
              <w:t>Total revenue</w:t>
            </w:r>
            <w:r w:rsidR="0083777A" w:rsidRPr="00450C18">
              <w:rPr>
                <w:rFonts w:ascii="Arial" w:hAnsi="Arial" w:cs="Arial"/>
                <w:color w:val="010000"/>
                <w:sz w:val="20"/>
              </w:rPr>
              <w:t>:</w:t>
            </w:r>
          </w:p>
        </w:tc>
        <w:tc>
          <w:tcPr>
            <w:tcW w:w="3356" w:type="pct"/>
            <w:shd w:val="clear" w:color="auto" w:fill="auto"/>
            <w:vAlign w:val="center"/>
          </w:tcPr>
          <w:p w14:paraId="5AAB1E9E" w14:textId="77777777" w:rsidR="006D6F49" w:rsidRPr="00450C18" w:rsidRDefault="00B66838" w:rsidP="004E0F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C18">
              <w:rPr>
                <w:rFonts w:ascii="Arial" w:hAnsi="Arial" w:cs="Arial"/>
                <w:color w:val="010000"/>
                <w:sz w:val="20"/>
              </w:rPr>
              <w:t>VND 674,968,284,134</w:t>
            </w:r>
          </w:p>
        </w:tc>
      </w:tr>
      <w:tr w:rsidR="006D6F49" w:rsidRPr="00450C18" w14:paraId="38E98A37" w14:textId="77777777" w:rsidTr="004E0F45">
        <w:tc>
          <w:tcPr>
            <w:tcW w:w="1644" w:type="pct"/>
            <w:shd w:val="clear" w:color="auto" w:fill="auto"/>
            <w:vAlign w:val="center"/>
          </w:tcPr>
          <w:p w14:paraId="4F9438E7" w14:textId="01614B5B" w:rsidR="006D6F49" w:rsidRPr="00450C18" w:rsidRDefault="00B66838" w:rsidP="004E0F45">
            <w:pPr>
              <w:numPr>
                <w:ilvl w:val="0"/>
                <w:numId w:val="4"/>
              </w:numPr>
              <w:pBdr>
                <w:top w:val="nil"/>
                <w:left w:val="nil"/>
                <w:bottom w:val="nil"/>
                <w:right w:val="nil"/>
                <w:between w:val="nil"/>
              </w:pBdr>
              <w:tabs>
                <w:tab w:val="left" w:pos="432"/>
                <w:tab w:val="left" w:pos="2552"/>
              </w:tabs>
              <w:spacing w:after="120" w:line="360" w:lineRule="auto"/>
              <w:ind w:left="0" w:firstLine="0"/>
              <w:rPr>
                <w:rFonts w:ascii="Arial" w:eastAsia="Arial" w:hAnsi="Arial" w:cs="Arial"/>
                <w:color w:val="010000"/>
                <w:sz w:val="20"/>
                <w:szCs w:val="20"/>
              </w:rPr>
            </w:pPr>
            <w:r w:rsidRPr="00450C18">
              <w:rPr>
                <w:rFonts w:ascii="Arial" w:hAnsi="Arial" w:cs="Arial"/>
                <w:color w:val="010000"/>
                <w:sz w:val="20"/>
              </w:rPr>
              <w:t>Profit before tax</w:t>
            </w:r>
            <w:r w:rsidR="0083777A" w:rsidRPr="00450C18">
              <w:rPr>
                <w:rFonts w:ascii="Arial" w:hAnsi="Arial" w:cs="Arial"/>
                <w:color w:val="010000"/>
                <w:sz w:val="20"/>
              </w:rPr>
              <w:t>:</w:t>
            </w:r>
          </w:p>
        </w:tc>
        <w:tc>
          <w:tcPr>
            <w:tcW w:w="3356" w:type="pct"/>
            <w:shd w:val="clear" w:color="auto" w:fill="auto"/>
            <w:vAlign w:val="center"/>
          </w:tcPr>
          <w:p w14:paraId="0457D741" w14:textId="77777777" w:rsidR="006D6F49" w:rsidRPr="00450C18" w:rsidRDefault="00B66838" w:rsidP="004E0F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C18">
              <w:rPr>
                <w:rFonts w:ascii="Arial" w:hAnsi="Arial" w:cs="Arial"/>
                <w:color w:val="010000"/>
                <w:sz w:val="20"/>
              </w:rPr>
              <w:t>VND 3,431,136,865</w:t>
            </w:r>
          </w:p>
        </w:tc>
      </w:tr>
      <w:tr w:rsidR="006D6F49" w:rsidRPr="00450C18" w14:paraId="20B01AFC" w14:textId="77777777" w:rsidTr="004E0F45">
        <w:tc>
          <w:tcPr>
            <w:tcW w:w="1644" w:type="pct"/>
            <w:shd w:val="clear" w:color="auto" w:fill="auto"/>
            <w:vAlign w:val="center"/>
          </w:tcPr>
          <w:p w14:paraId="72684342" w14:textId="0C949EFB" w:rsidR="006D6F49" w:rsidRPr="00450C18" w:rsidRDefault="00B66838" w:rsidP="004E0F45">
            <w:pPr>
              <w:numPr>
                <w:ilvl w:val="0"/>
                <w:numId w:val="4"/>
              </w:numPr>
              <w:pBdr>
                <w:top w:val="nil"/>
                <w:left w:val="nil"/>
                <w:bottom w:val="nil"/>
                <w:right w:val="nil"/>
                <w:between w:val="nil"/>
              </w:pBdr>
              <w:tabs>
                <w:tab w:val="left" w:pos="432"/>
              </w:tabs>
              <w:spacing w:after="120" w:line="360" w:lineRule="auto"/>
              <w:ind w:left="0" w:firstLine="0"/>
              <w:rPr>
                <w:rFonts w:ascii="Arial" w:hAnsi="Arial" w:cs="Arial"/>
                <w:color w:val="010000"/>
                <w:sz w:val="20"/>
              </w:rPr>
            </w:pPr>
            <w:r w:rsidRPr="00450C18">
              <w:rPr>
                <w:rFonts w:ascii="Arial" w:hAnsi="Arial" w:cs="Arial"/>
                <w:color w:val="010000"/>
                <w:sz w:val="20"/>
              </w:rPr>
              <w:t>Profit after tax</w:t>
            </w:r>
            <w:r w:rsidR="0083777A" w:rsidRPr="00450C18">
              <w:rPr>
                <w:rFonts w:ascii="Arial" w:hAnsi="Arial" w:cs="Arial"/>
                <w:color w:val="010000"/>
                <w:sz w:val="20"/>
              </w:rPr>
              <w:t>:</w:t>
            </w:r>
          </w:p>
        </w:tc>
        <w:tc>
          <w:tcPr>
            <w:tcW w:w="3356" w:type="pct"/>
            <w:shd w:val="clear" w:color="auto" w:fill="auto"/>
            <w:vAlign w:val="center"/>
          </w:tcPr>
          <w:p w14:paraId="24E92EAB" w14:textId="77777777" w:rsidR="006D6F49" w:rsidRPr="00450C18" w:rsidRDefault="00B66838" w:rsidP="004E0F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C18">
              <w:rPr>
                <w:rFonts w:ascii="Arial" w:hAnsi="Arial" w:cs="Arial"/>
                <w:color w:val="010000"/>
                <w:sz w:val="20"/>
              </w:rPr>
              <w:t>VND 3,430,974,602</w:t>
            </w:r>
          </w:p>
        </w:tc>
      </w:tr>
    </w:tbl>
    <w:p w14:paraId="1F07E641" w14:textId="77777777" w:rsidR="006D6F49" w:rsidRPr="00450C18" w:rsidRDefault="00B66838" w:rsidP="004E0F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C18">
        <w:rPr>
          <w:rFonts w:ascii="Arial" w:hAnsi="Arial" w:cs="Arial"/>
          <w:color w:val="010000"/>
          <w:sz w:val="20"/>
        </w:rPr>
        <w:t>‎‎Article 4. Approve the Proposal on selecting the audit company for the Financial Statements 2024</w:t>
      </w:r>
    </w:p>
    <w:p w14:paraId="0D1901A4" w14:textId="53113BEA" w:rsidR="006D6F49" w:rsidRPr="00450C18" w:rsidRDefault="00B66838" w:rsidP="004E0F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C18">
        <w:rPr>
          <w:rFonts w:ascii="Arial" w:hAnsi="Arial" w:cs="Arial"/>
          <w:color w:val="010000"/>
          <w:sz w:val="20"/>
        </w:rPr>
        <w:t>The Annual General Meeting of Shareholders 2024 of Vinafood 1 Flour Joint Stock Company approved the Proposal on selecting the audit company for the Financial Statements 2024 as follows</w:t>
      </w:r>
    </w:p>
    <w:p w14:paraId="1360A2A2" w14:textId="0743B1F1" w:rsidR="006D6F49" w:rsidRPr="00450C18" w:rsidRDefault="00B66838" w:rsidP="004E0F45">
      <w:pPr>
        <w:numPr>
          <w:ilvl w:val="0"/>
          <w:numId w:val="1"/>
        </w:numPr>
        <w:pBdr>
          <w:top w:val="nil"/>
          <w:left w:val="nil"/>
          <w:bottom w:val="nil"/>
          <w:right w:val="nil"/>
          <w:between w:val="nil"/>
        </w:pBdr>
        <w:tabs>
          <w:tab w:val="left" w:pos="432"/>
          <w:tab w:val="left" w:pos="2820"/>
        </w:tabs>
        <w:spacing w:after="120" w:line="360" w:lineRule="auto"/>
        <w:rPr>
          <w:rFonts w:ascii="Arial" w:eastAsia="Arial" w:hAnsi="Arial" w:cs="Arial"/>
          <w:color w:val="010000"/>
          <w:sz w:val="20"/>
          <w:szCs w:val="20"/>
        </w:rPr>
      </w:pPr>
      <w:r w:rsidRPr="00450C18">
        <w:rPr>
          <w:rFonts w:ascii="Arial" w:hAnsi="Arial" w:cs="Arial"/>
          <w:color w:val="010000"/>
          <w:sz w:val="20"/>
        </w:rPr>
        <w:t>Use the Financial Statements audited by the audit company selected by the Corporation as the official Financial Statement</w:t>
      </w:r>
      <w:r w:rsidR="008F6CD0" w:rsidRPr="00450C18">
        <w:rPr>
          <w:rFonts w:ascii="Arial" w:hAnsi="Arial" w:cs="Arial"/>
          <w:color w:val="010000"/>
          <w:sz w:val="20"/>
        </w:rPr>
        <w:t>s</w:t>
      </w:r>
      <w:r w:rsidRPr="00450C18">
        <w:rPr>
          <w:rFonts w:ascii="Arial" w:hAnsi="Arial" w:cs="Arial"/>
          <w:color w:val="010000"/>
          <w:sz w:val="20"/>
        </w:rPr>
        <w:t xml:space="preserve"> of the Company;</w:t>
      </w:r>
    </w:p>
    <w:p w14:paraId="7D4BE136" w14:textId="77777777" w:rsidR="006D6F49" w:rsidRPr="00450C18" w:rsidRDefault="00B66838" w:rsidP="004E0F45">
      <w:pPr>
        <w:numPr>
          <w:ilvl w:val="0"/>
          <w:numId w:val="1"/>
        </w:numPr>
        <w:pBdr>
          <w:top w:val="nil"/>
          <w:left w:val="nil"/>
          <w:bottom w:val="nil"/>
          <w:right w:val="nil"/>
          <w:between w:val="nil"/>
        </w:pBdr>
        <w:tabs>
          <w:tab w:val="left" w:pos="432"/>
          <w:tab w:val="left" w:pos="2824"/>
        </w:tabs>
        <w:spacing w:after="120" w:line="360" w:lineRule="auto"/>
        <w:rPr>
          <w:rFonts w:ascii="Arial" w:eastAsia="Arial" w:hAnsi="Arial" w:cs="Arial"/>
          <w:color w:val="010000"/>
          <w:sz w:val="20"/>
          <w:szCs w:val="20"/>
        </w:rPr>
      </w:pPr>
      <w:r w:rsidRPr="00450C18">
        <w:rPr>
          <w:rFonts w:ascii="Arial" w:hAnsi="Arial" w:cs="Arial"/>
          <w:color w:val="010000"/>
          <w:sz w:val="20"/>
        </w:rPr>
        <w:t>Authorize the Board of Directors to decide on selecting the qualified audit company to audit the Semi-annual Financial Statements in accordance with the regulations.</w:t>
      </w:r>
    </w:p>
    <w:p w14:paraId="630BD5F1" w14:textId="77777777" w:rsidR="006D6F49" w:rsidRPr="00450C18" w:rsidRDefault="00B66838" w:rsidP="004E0F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C18">
        <w:rPr>
          <w:rFonts w:ascii="Arial" w:hAnsi="Arial" w:cs="Arial"/>
          <w:color w:val="010000"/>
          <w:sz w:val="20"/>
        </w:rPr>
        <w:t>‎‎Article 5. Approve the Report of the Supervisory Board in 2023</w:t>
      </w:r>
    </w:p>
    <w:p w14:paraId="581B6C2B" w14:textId="77777777" w:rsidR="006D6F49" w:rsidRPr="00450C18" w:rsidRDefault="00B66838" w:rsidP="004E0F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C18">
        <w:rPr>
          <w:rFonts w:ascii="Arial" w:hAnsi="Arial" w:cs="Arial"/>
          <w:color w:val="010000"/>
          <w:sz w:val="20"/>
        </w:rPr>
        <w:t xml:space="preserve">The Annual General Meeting of Shareholders 2024 of Vinafood 1 Flour Joint Stock Company approved the Report of the Supervisory Board in 2023 </w:t>
      </w:r>
    </w:p>
    <w:p w14:paraId="2F11A3DC" w14:textId="77777777" w:rsidR="006D6F49" w:rsidRPr="00450C18" w:rsidRDefault="00B66838" w:rsidP="004E0F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C18">
        <w:rPr>
          <w:rFonts w:ascii="Arial" w:hAnsi="Arial" w:cs="Arial"/>
          <w:color w:val="010000"/>
          <w:sz w:val="20"/>
        </w:rPr>
        <w:t xml:space="preserve">‎‎Article 6. Approve the settlement of remuneration of the Board of Directors and the Supervisory Board in 2023 and the settlement of </w:t>
      </w:r>
      <w:r w:rsidR="00E73F9C" w:rsidRPr="00450C18">
        <w:rPr>
          <w:rFonts w:ascii="Arial" w:hAnsi="Arial" w:cs="Arial"/>
          <w:color w:val="010000"/>
          <w:sz w:val="20"/>
        </w:rPr>
        <w:t xml:space="preserve">the </w:t>
      </w:r>
      <w:r w:rsidRPr="00450C18">
        <w:rPr>
          <w:rFonts w:ascii="Arial" w:hAnsi="Arial" w:cs="Arial"/>
          <w:color w:val="010000"/>
          <w:sz w:val="20"/>
        </w:rPr>
        <w:t>remuneration plan of the Board of Directors and the Supervisory Board for 2024.</w:t>
      </w:r>
    </w:p>
    <w:p w14:paraId="52C7FA86" w14:textId="5734733F" w:rsidR="006D6F49" w:rsidRPr="00450C18" w:rsidRDefault="00B66838" w:rsidP="004E0F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C18">
        <w:rPr>
          <w:rFonts w:ascii="Arial" w:hAnsi="Arial" w:cs="Arial"/>
          <w:color w:val="010000"/>
          <w:sz w:val="20"/>
        </w:rPr>
        <w:t>The Annual General Meeting of Shareholders 2024 of Vinafood 1 Flour Joint Stock Company approved the settlement of remuneration of the Board of Directors and the Supervisory Board in 2023 and the settlement of remuneration plan of the Board of Directors and the Supervisory Board for 2024 as follows</w:t>
      </w:r>
    </w:p>
    <w:p w14:paraId="5CE2CB15" w14:textId="4B0E14E3" w:rsidR="006D6F49" w:rsidRPr="00450C18" w:rsidRDefault="00B66838" w:rsidP="004E0F45">
      <w:pPr>
        <w:numPr>
          <w:ilvl w:val="0"/>
          <w:numId w:val="9"/>
        </w:numPr>
        <w:pBdr>
          <w:top w:val="nil"/>
          <w:left w:val="nil"/>
          <w:bottom w:val="nil"/>
          <w:right w:val="nil"/>
          <w:between w:val="nil"/>
        </w:pBdr>
        <w:tabs>
          <w:tab w:val="left" w:pos="432"/>
          <w:tab w:val="left" w:pos="2484"/>
        </w:tabs>
        <w:spacing w:after="120" w:line="360" w:lineRule="auto"/>
        <w:rPr>
          <w:rFonts w:ascii="Arial" w:eastAsia="Arial" w:hAnsi="Arial" w:cs="Arial"/>
          <w:color w:val="010000"/>
          <w:sz w:val="20"/>
          <w:szCs w:val="20"/>
        </w:rPr>
      </w:pPr>
      <w:r w:rsidRPr="00450C18">
        <w:rPr>
          <w:rFonts w:ascii="Arial" w:hAnsi="Arial" w:cs="Arial"/>
          <w:color w:val="010000"/>
          <w:sz w:val="20"/>
        </w:rPr>
        <w:t>The settlement of remuneration implemented in 2023</w:t>
      </w:r>
      <w:r w:rsidR="008F6CD0" w:rsidRPr="00450C18">
        <w:rPr>
          <w:rFonts w:ascii="Arial" w:hAnsi="Arial" w:cs="Arial"/>
          <w:color w:val="010000"/>
          <w:sz w:val="20"/>
        </w:rPr>
        <w:t>:</w:t>
      </w:r>
      <w:r w:rsidRPr="00450C18">
        <w:rPr>
          <w:rFonts w:ascii="Arial" w:hAnsi="Arial" w:cs="Arial"/>
          <w:color w:val="010000"/>
          <w:sz w:val="20"/>
        </w:rPr>
        <w:t xml:space="preserve"> VND 40,800,000;</w:t>
      </w:r>
    </w:p>
    <w:p w14:paraId="0395CDC2" w14:textId="41698630" w:rsidR="006D6F49" w:rsidRPr="00450C18" w:rsidRDefault="00B66838" w:rsidP="004E0F45">
      <w:pPr>
        <w:pBdr>
          <w:top w:val="nil"/>
          <w:left w:val="nil"/>
          <w:bottom w:val="nil"/>
          <w:right w:val="nil"/>
          <w:between w:val="nil"/>
        </w:pBdr>
        <w:tabs>
          <w:tab w:val="left" w:pos="432"/>
          <w:tab w:val="left" w:pos="2484"/>
        </w:tabs>
        <w:spacing w:after="120" w:line="360" w:lineRule="auto"/>
        <w:rPr>
          <w:rFonts w:ascii="Arial" w:eastAsia="Arial" w:hAnsi="Arial" w:cs="Arial"/>
          <w:color w:val="010000"/>
          <w:sz w:val="20"/>
          <w:szCs w:val="20"/>
        </w:rPr>
      </w:pPr>
      <w:r w:rsidRPr="00450C18">
        <w:rPr>
          <w:rFonts w:ascii="Arial" w:hAnsi="Arial" w:cs="Arial"/>
          <w:color w:val="010000"/>
          <w:sz w:val="20"/>
        </w:rPr>
        <w:t>In which</w:t>
      </w:r>
    </w:p>
    <w:p w14:paraId="250338E3" w14:textId="084DB994" w:rsidR="006D6F49" w:rsidRPr="00450C18" w:rsidRDefault="00B66838" w:rsidP="004E0F45">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50C18">
        <w:rPr>
          <w:rFonts w:ascii="Arial" w:hAnsi="Arial" w:cs="Arial"/>
          <w:color w:val="010000"/>
          <w:sz w:val="20"/>
        </w:rPr>
        <w:t>Remuneration of the Board of Directors of the Company (02 persons) is VND 24,000,000 (Corresponding to members of the Board of Directors is VND 01 million/person/month, for</w:t>
      </w:r>
      <w:r w:rsidR="00E73F9C" w:rsidRPr="00450C18">
        <w:rPr>
          <w:rFonts w:ascii="Arial" w:hAnsi="Arial" w:cs="Arial"/>
          <w:color w:val="010000"/>
          <w:sz w:val="20"/>
        </w:rPr>
        <w:t xml:space="preserve"> the</w:t>
      </w:r>
      <w:r w:rsidRPr="00450C18">
        <w:rPr>
          <w:rFonts w:ascii="Arial" w:hAnsi="Arial" w:cs="Arial"/>
          <w:color w:val="010000"/>
          <w:sz w:val="20"/>
        </w:rPr>
        <w:t xml:space="preserve"> </w:t>
      </w:r>
      <w:r w:rsidR="009F3804" w:rsidRPr="00450C18">
        <w:rPr>
          <w:rFonts w:ascii="Arial" w:hAnsi="Arial" w:cs="Arial"/>
          <w:color w:val="010000"/>
          <w:sz w:val="20"/>
        </w:rPr>
        <w:lastRenderedPageBreak/>
        <w:t>E</w:t>
      </w:r>
      <w:r w:rsidRPr="00450C18">
        <w:rPr>
          <w:rFonts w:ascii="Arial" w:hAnsi="Arial" w:cs="Arial"/>
          <w:color w:val="010000"/>
          <w:sz w:val="20"/>
        </w:rPr>
        <w:t xml:space="preserve">xecutive </w:t>
      </w:r>
      <w:r w:rsidR="00E73F9C" w:rsidRPr="00450C18">
        <w:rPr>
          <w:rFonts w:ascii="Arial" w:hAnsi="Arial" w:cs="Arial"/>
          <w:color w:val="010000"/>
          <w:sz w:val="20"/>
        </w:rPr>
        <w:t xml:space="preserve">Members, and </w:t>
      </w:r>
      <w:r w:rsidRPr="00450C18">
        <w:rPr>
          <w:rFonts w:ascii="Arial" w:hAnsi="Arial" w:cs="Arial"/>
          <w:color w:val="010000"/>
          <w:sz w:val="20"/>
        </w:rPr>
        <w:t>Chair of the Board of Directors, they are not entitled to remuneration).</w:t>
      </w:r>
    </w:p>
    <w:p w14:paraId="07AA12CB" w14:textId="43BF64EB" w:rsidR="006D6F49" w:rsidRPr="00450C18" w:rsidRDefault="00B66838" w:rsidP="004E0F45">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50C18">
        <w:rPr>
          <w:rFonts w:ascii="Arial" w:hAnsi="Arial" w:cs="Arial"/>
          <w:color w:val="010000"/>
          <w:sz w:val="20"/>
        </w:rPr>
        <w:t>Remuneration of the Supervisory Board of the Company (02 persons)</w:t>
      </w:r>
      <w:r w:rsidR="0083777A" w:rsidRPr="00450C18">
        <w:rPr>
          <w:rFonts w:ascii="Arial" w:hAnsi="Arial" w:cs="Arial"/>
          <w:color w:val="010000"/>
          <w:sz w:val="20"/>
        </w:rPr>
        <w:t>:</w:t>
      </w:r>
      <w:r w:rsidRPr="00450C18">
        <w:rPr>
          <w:rFonts w:ascii="Arial" w:hAnsi="Arial" w:cs="Arial"/>
          <w:color w:val="010000"/>
          <w:sz w:val="20"/>
        </w:rPr>
        <w:t xml:space="preserve"> VND 16,800,000 (Corresponding to members of the Supervisory Board is VND 0.7 million/pers</w:t>
      </w:r>
      <w:r w:rsidR="00E73F9C" w:rsidRPr="00450C18">
        <w:rPr>
          <w:rFonts w:ascii="Arial" w:hAnsi="Arial" w:cs="Arial"/>
          <w:color w:val="010000"/>
          <w:sz w:val="20"/>
        </w:rPr>
        <w:t xml:space="preserve">on/month, for the </w:t>
      </w:r>
      <w:r w:rsidR="009F3804" w:rsidRPr="00450C18">
        <w:rPr>
          <w:rFonts w:ascii="Arial" w:hAnsi="Arial" w:cs="Arial"/>
          <w:color w:val="010000"/>
          <w:sz w:val="20"/>
        </w:rPr>
        <w:t>E</w:t>
      </w:r>
      <w:r w:rsidR="00E73F9C" w:rsidRPr="00450C18">
        <w:rPr>
          <w:rFonts w:ascii="Arial" w:hAnsi="Arial" w:cs="Arial"/>
          <w:color w:val="010000"/>
          <w:sz w:val="20"/>
        </w:rPr>
        <w:t xml:space="preserve">xecutive Members, and </w:t>
      </w:r>
      <w:r w:rsidRPr="00450C18">
        <w:rPr>
          <w:rFonts w:ascii="Arial" w:hAnsi="Arial" w:cs="Arial"/>
          <w:color w:val="010000"/>
          <w:sz w:val="20"/>
        </w:rPr>
        <w:t>Chief of the Supervisory Board, they are not entitled to remuneration).</w:t>
      </w:r>
    </w:p>
    <w:p w14:paraId="229F9D4F" w14:textId="14B7182F" w:rsidR="006D6F49" w:rsidRPr="00450C18" w:rsidRDefault="00B66838" w:rsidP="004E0F45">
      <w:pPr>
        <w:numPr>
          <w:ilvl w:val="0"/>
          <w:numId w:val="9"/>
        </w:numPr>
        <w:pBdr>
          <w:top w:val="nil"/>
          <w:left w:val="nil"/>
          <w:bottom w:val="nil"/>
          <w:right w:val="nil"/>
          <w:between w:val="nil"/>
        </w:pBdr>
        <w:tabs>
          <w:tab w:val="left" w:pos="432"/>
          <w:tab w:val="left" w:pos="2476"/>
        </w:tabs>
        <w:spacing w:after="120" w:line="360" w:lineRule="auto"/>
        <w:rPr>
          <w:rFonts w:ascii="Arial" w:eastAsia="Arial" w:hAnsi="Arial" w:cs="Arial"/>
          <w:color w:val="010000"/>
          <w:sz w:val="20"/>
          <w:szCs w:val="20"/>
        </w:rPr>
      </w:pPr>
      <w:r w:rsidRPr="00450C18">
        <w:rPr>
          <w:rFonts w:ascii="Arial" w:hAnsi="Arial" w:cs="Arial"/>
          <w:color w:val="010000"/>
          <w:sz w:val="20"/>
        </w:rPr>
        <w:t>Plan on the remuneration fund in 2024 of the Board of Directors and the Supervisory Board, specifically as follows</w:t>
      </w:r>
    </w:p>
    <w:p w14:paraId="6062B5F1" w14:textId="2E5697A9" w:rsidR="006D6F49" w:rsidRPr="00450C18" w:rsidRDefault="00B66838" w:rsidP="004E0F45">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50C18">
        <w:rPr>
          <w:rFonts w:ascii="Arial" w:hAnsi="Arial" w:cs="Arial"/>
          <w:color w:val="010000"/>
          <w:sz w:val="20"/>
        </w:rPr>
        <w:t>Remuneration of the Board of Directors of the Company (02 persons)</w:t>
      </w:r>
      <w:r w:rsidR="0083777A" w:rsidRPr="00450C18">
        <w:rPr>
          <w:rFonts w:ascii="Arial" w:hAnsi="Arial" w:cs="Arial"/>
          <w:color w:val="010000"/>
          <w:sz w:val="20"/>
        </w:rPr>
        <w:t>:</w:t>
      </w:r>
      <w:r w:rsidRPr="00450C18">
        <w:rPr>
          <w:rFonts w:ascii="Arial" w:hAnsi="Arial" w:cs="Arial"/>
          <w:color w:val="010000"/>
          <w:sz w:val="20"/>
        </w:rPr>
        <w:t xml:space="preserve"> is VND 24,000,000 (Corresponding to members of the Board of Directors is VND 01 million/person/month, for </w:t>
      </w:r>
      <w:r w:rsidR="009F3804" w:rsidRPr="00450C18">
        <w:rPr>
          <w:rFonts w:ascii="Arial" w:hAnsi="Arial" w:cs="Arial"/>
          <w:color w:val="010000"/>
          <w:sz w:val="20"/>
        </w:rPr>
        <w:t xml:space="preserve">the Executive Members, and </w:t>
      </w:r>
      <w:r w:rsidRPr="00450C18">
        <w:rPr>
          <w:rFonts w:ascii="Arial" w:hAnsi="Arial" w:cs="Arial"/>
          <w:color w:val="010000"/>
          <w:sz w:val="20"/>
        </w:rPr>
        <w:t>Chair of the Board of Directors, they are not entitled to remuneration).</w:t>
      </w:r>
    </w:p>
    <w:p w14:paraId="45EABB03" w14:textId="4B050C81" w:rsidR="006D6F49" w:rsidRPr="00450C18" w:rsidRDefault="00B66838" w:rsidP="004E0F45">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50C18">
        <w:rPr>
          <w:rFonts w:ascii="Arial" w:hAnsi="Arial" w:cs="Arial"/>
          <w:color w:val="010000"/>
          <w:sz w:val="20"/>
        </w:rPr>
        <w:t>Remuneration of the Supervisory Board of the Company (02 persons)</w:t>
      </w:r>
      <w:r w:rsidR="0083777A" w:rsidRPr="00450C18">
        <w:rPr>
          <w:rFonts w:ascii="Arial" w:hAnsi="Arial" w:cs="Arial"/>
          <w:color w:val="010000"/>
          <w:sz w:val="20"/>
        </w:rPr>
        <w:t>:</w:t>
      </w:r>
      <w:r w:rsidRPr="00450C18">
        <w:rPr>
          <w:rFonts w:ascii="Arial" w:hAnsi="Arial" w:cs="Arial"/>
          <w:color w:val="010000"/>
          <w:sz w:val="20"/>
        </w:rPr>
        <w:t xml:space="preserve"> VND 16,800,000 (Corresponding to members of the Supervisory Board is VND 0.7 million/person/month, for </w:t>
      </w:r>
      <w:r w:rsidR="009F3804" w:rsidRPr="00450C18">
        <w:rPr>
          <w:rFonts w:ascii="Arial" w:hAnsi="Arial" w:cs="Arial"/>
          <w:color w:val="010000"/>
          <w:sz w:val="20"/>
        </w:rPr>
        <w:t xml:space="preserve">the Executive Members, and </w:t>
      </w:r>
      <w:r w:rsidRPr="00450C18">
        <w:rPr>
          <w:rFonts w:ascii="Arial" w:hAnsi="Arial" w:cs="Arial"/>
          <w:color w:val="010000"/>
          <w:sz w:val="20"/>
        </w:rPr>
        <w:t>Chief of the Supervisory Board, they are not entitled to remuneration).</w:t>
      </w:r>
    </w:p>
    <w:p w14:paraId="59154179" w14:textId="77777777" w:rsidR="006D6F49" w:rsidRPr="00450C18" w:rsidRDefault="00B66838" w:rsidP="004E0F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C18">
        <w:rPr>
          <w:rFonts w:ascii="Arial" w:hAnsi="Arial" w:cs="Arial"/>
          <w:color w:val="010000"/>
          <w:sz w:val="20"/>
        </w:rPr>
        <w:t>‎‎Article 7. Approve the profit distribution plan in 2023 of the Company.</w:t>
      </w:r>
    </w:p>
    <w:p w14:paraId="1F7DA191" w14:textId="383BAB5D" w:rsidR="006D6F49" w:rsidRPr="00450C18" w:rsidRDefault="00B66838" w:rsidP="004E0F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C18">
        <w:rPr>
          <w:rFonts w:ascii="Arial" w:hAnsi="Arial" w:cs="Arial"/>
          <w:color w:val="010000"/>
          <w:sz w:val="20"/>
        </w:rPr>
        <w:t>The Annual General Meeting of Shareholders 2024 of Vinafood 1 Flour Joint Stock Company approved the profit distribution plan in 2023 of the Company as follows</w:t>
      </w:r>
    </w:p>
    <w:tbl>
      <w:tblPr>
        <w:tblStyle w:val="a2"/>
        <w:tblW w:w="5000" w:type="pct"/>
        <w:tblBorders>
          <w:top w:val="nil"/>
          <w:left w:val="nil"/>
          <w:bottom w:val="nil"/>
          <w:right w:val="nil"/>
          <w:insideH w:val="nil"/>
          <w:insideV w:val="nil"/>
        </w:tblBorders>
        <w:tblLook w:val="0400" w:firstRow="0" w:lastRow="0" w:firstColumn="0" w:lastColumn="0" w:noHBand="0" w:noVBand="1"/>
      </w:tblPr>
      <w:tblGrid>
        <w:gridCol w:w="6193"/>
        <w:gridCol w:w="2834"/>
      </w:tblGrid>
      <w:tr w:rsidR="006D6F49" w:rsidRPr="00450C18" w14:paraId="15053F50" w14:textId="77777777" w:rsidTr="004E0F45">
        <w:tc>
          <w:tcPr>
            <w:tcW w:w="3430" w:type="pct"/>
            <w:shd w:val="clear" w:color="auto" w:fill="auto"/>
            <w:vAlign w:val="center"/>
          </w:tcPr>
          <w:p w14:paraId="31ABECA7" w14:textId="1BBD901A" w:rsidR="006D6F49" w:rsidRPr="00450C18" w:rsidRDefault="00B66838" w:rsidP="004E0F45">
            <w:pPr>
              <w:numPr>
                <w:ilvl w:val="0"/>
                <w:numId w:val="3"/>
              </w:numPr>
              <w:pBdr>
                <w:top w:val="nil"/>
                <w:left w:val="nil"/>
                <w:bottom w:val="nil"/>
                <w:right w:val="nil"/>
                <w:between w:val="nil"/>
              </w:pBdr>
              <w:tabs>
                <w:tab w:val="left" w:pos="432"/>
                <w:tab w:val="left" w:pos="2555"/>
              </w:tabs>
              <w:spacing w:after="120" w:line="360" w:lineRule="auto"/>
              <w:rPr>
                <w:rFonts w:ascii="Arial" w:eastAsia="Arial" w:hAnsi="Arial" w:cs="Arial"/>
                <w:color w:val="010000"/>
                <w:sz w:val="20"/>
                <w:szCs w:val="20"/>
              </w:rPr>
            </w:pPr>
            <w:r w:rsidRPr="00450C18">
              <w:rPr>
                <w:rFonts w:ascii="Arial" w:hAnsi="Arial" w:cs="Arial"/>
                <w:color w:val="010000"/>
                <w:sz w:val="20"/>
              </w:rPr>
              <w:t>Profit before tax</w:t>
            </w:r>
            <w:r w:rsidR="0083777A" w:rsidRPr="00450C18">
              <w:rPr>
                <w:rFonts w:ascii="Arial" w:hAnsi="Arial" w:cs="Arial"/>
                <w:color w:val="010000"/>
                <w:sz w:val="20"/>
              </w:rPr>
              <w:t>:</w:t>
            </w:r>
          </w:p>
        </w:tc>
        <w:tc>
          <w:tcPr>
            <w:tcW w:w="1570" w:type="pct"/>
            <w:shd w:val="clear" w:color="auto" w:fill="auto"/>
            <w:vAlign w:val="center"/>
          </w:tcPr>
          <w:p w14:paraId="2BA28641" w14:textId="77777777" w:rsidR="006D6F49" w:rsidRPr="00450C18" w:rsidRDefault="00B66838" w:rsidP="004E0F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C18">
              <w:rPr>
                <w:rFonts w:ascii="Arial" w:hAnsi="Arial" w:cs="Arial"/>
                <w:color w:val="010000"/>
                <w:sz w:val="20"/>
              </w:rPr>
              <w:t>VND 3,431,136,865</w:t>
            </w:r>
          </w:p>
        </w:tc>
      </w:tr>
      <w:tr w:rsidR="006D6F49" w:rsidRPr="00450C18" w14:paraId="7DB4863C" w14:textId="77777777" w:rsidTr="004E0F45">
        <w:tc>
          <w:tcPr>
            <w:tcW w:w="3430" w:type="pct"/>
            <w:shd w:val="clear" w:color="auto" w:fill="auto"/>
            <w:vAlign w:val="center"/>
          </w:tcPr>
          <w:p w14:paraId="055A8F6C" w14:textId="524DE3C0" w:rsidR="006D6F49" w:rsidRPr="00450C18" w:rsidRDefault="00B66838" w:rsidP="004E0F45">
            <w:pPr>
              <w:numPr>
                <w:ilvl w:val="0"/>
                <w:numId w:val="3"/>
              </w:numPr>
              <w:pBdr>
                <w:top w:val="nil"/>
                <w:left w:val="nil"/>
                <w:bottom w:val="nil"/>
                <w:right w:val="nil"/>
                <w:between w:val="nil"/>
              </w:pBdr>
              <w:tabs>
                <w:tab w:val="left" w:pos="432"/>
                <w:tab w:val="left" w:pos="2580"/>
              </w:tabs>
              <w:spacing w:after="120" w:line="360" w:lineRule="auto"/>
              <w:rPr>
                <w:rFonts w:ascii="Arial" w:eastAsia="Arial" w:hAnsi="Arial" w:cs="Arial"/>
                <w:color w:val="010000"/>
                <w:sz w:val="20"/>
                <w:szCs w:val="20"/>
              </w:rPr>
            </w:pPr>
            <w:r w:rsidRPr="00450C18">
              <w:rPr>
                <w:rFonts w:ascii="Arial" w:hAnsi="Arial" w:cs="Arial"/>
                <w:color w:val="010000"/>
                <w:sz w:val="20"/>
              </w:rPr>
              <w:t>Corporate income tax</w:t>
            </w:r>
            <w:r w:rsidR="0083777A" w:rsidRPr="00450C18">
              <w:rPr>
                <w:rFonts w:ascii="Arial" w:hAnsi="Arial" w:cs="Arial"/>
                <w:color w:val="010000"/>
                <w:sz w:val="20"/>
              </w:rPr>
              <w:t>:</w:t>
            </w:r>
          </w:p>
        </w:tc>
        <w:tc>
          <w:tcPr>
            <w:tcW w:w="1570" w:type="pct"/>
            <w:shd w:val="clear" w:color="auto" w:fill="auto"/>
            <w:vAlign w:val="center"/>
          </w:tcPr>
          <w:p w14:paraId="7E3CCDEA" w14:textId="77777777" w:rsidR="006D6F49" w:rsidRPr="00450C18" w:rsidRDefault="00B66838" w:rsidP="004E0F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C18">
              <w:rPr>
                <w:rFonts w:ascii="Arial" w:hAnsi="Arial" w:cs="Arial"/>
                <w:color w:val="010000"/>
                <w:sz w:val="20"/>
              </w:rPr>
              <w:t>VND 162,263</w:t>
            </w:r>
          </w:p>
        </w:tc>
      </w:tr>
      <w:tr w:rsidR="006D6F49" w:rsidRPr="00450C18" w14:paraId="76F3378F" w14:textId="77777777" w:rsidTr="004E0F45">
        <w:tc>
          <w:tcPr>
            <w:tcW w:w="3430" w:type="pct"/>
            <w:shd w:val="clear" w:color="auto" w:fill="auto"/>
            <w:vAlign w:val="center"/>
          </w:tcPr>
          <w:p w14:paraId="118EB24C" w14:textId="11272055" w:rsidR="006D6F49" w:rsidRPr="00450C18" w:rsidRDefault="00B66838" w:rsidP="004E0F45">
            <w:pPr>
              <w:numPr>
                <w:ilvl w:val="0"/>
                <w:numId w:val="3"/>
              </w:numPr>
              <w:pBdr>
                <w:top w:val="nil"/>
                <w:left w:val="nil"/>
                <w:bottom w:val="nil"/>
                <w:right w:val="nil"/>
                <w:between w:val="nil"/>
              </w:pBdr>
              <w:tabs>
                <w:tab w:val="left" w:pos="432"/>
                <w:tab w:val="left" w:pos="2584"/>
              </w:tabs>
              <w:spacing w:after="120" w:line="360" w:lineRule="auto"/>
              <w:rPr>
                <w:rFonts w:ascii="Arial" w:eastAsia="Arial" w:hAnsi="Arial" w:cs="Arial"/>
                <w:color w:val="010000"/>
                <w:sz w:val="20"/>
                <w:szCs w:val="20"/>
              </w:rPr>
            </w:pPr>
            <w:r w:rsidRPr="00450C18">
              <w:rPr>
                <w:rFonts w:ascii="Arial" w:hAnsi="Arial" w:cs="Arial"/>
                <w:color w:val="010000"/>
                <w:sz w:val="20"/>
              </w:rPr>
              <w:t>Profit after tax of the year (1)-(2)</w:t>
            </w:r>
            <w:r w:rsidR="0083777A" w:rsidRPr="00450C18">
              <w:rPr>
                <w:rFonts w:ascii="Arial" w:hAnsi="Arial" w:cs="Arial"/>
                <w:color w:val="010000"/>
                <w:sz w:val="20"/>
              </w:rPr>
              <w:t>:</w:t>
            </w:r>
          </w:p>
        </w:tc>
        <w:tc>
          <w:tcPr>
            <w:tcW w:w="1570" w:type="pct"/>
            <w:shd w:val="clear" w:color="auto" w:fill="auto"/>
            <w:vAlign w:val="center"/>
          </w:tcPr>
          <w:p w14:paraId="2A5AC2E3" w14:textId="77777777" w:rsidR="006D6F49" w:rsidRPr="00450C18" w:rsidRDefault="00B66838" w:rsidP="004E0F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C18">
              <w:rPr>
                <w:rFonts w:ascii="Arial" w:hAnsi="Arial" w:cs="Arial"/>
                <w:color w:val="010000"/>
                <w:sz w:val="20"/>
              </w:rPr>
              <w:t xml:space="preserve">VND 3,430,974,602 </w:t>
            </w:r>
          </w:p>
        </w:tc>
      </w:tr>
      <w:tr w:rsidR="006D6F49" w:rsidRPr="00450C18" w14:paraId="14F2DC77" w14:textId="77777777" w:rsidTr="004E0F45">
        <w:tc>
          <w:tcPr>
            <w:tcW w:w="3430" w:type="pct"/>
            <w:shd w:val="clear" w:color="auto" w:fill="auto"/>
            <w:vAlign w:val="center"/>
          </w:tcPr>
          <w:p w14:paraId="6BA75285" w14:textId="25101FB8" w:rsidR="006D6F49" w:rsidRPr="00450C18" w:rsidRDefault="00B66838" w:rsidP="004E0F45">
            <w:pPr>
              <w:numPr>
                <w:ilvl w:val="0"/>
                <w:numId w:val="3"/>
              </w:numPr>
              <w:pBdr>
                <w:top w:val="nil"/>
                <w:left w:val="nil"/>
                <w:bottom w:val="nil"/>
                <w:right w:val="nil"/>
                <w:between w:val="nil"/>
              </w:pBdr>
              <w:tabs>
                <w:tab w:val="left" w:pos="432"/>
                <w:tab w:val="left" w:pos="2584"/>
              </w:tabs>
              <w:spacing w:after="120" w:line="360" w:lineRule="auto"/>
              <w:rPr>
                <w:rFonts w:ascii="Arial" w:eastAsia="Arial" w:hAnsi="Arial" w:cs="Arial"/>
                <w:color w:val="010000"/>
                <w:sz w:val="20"/>
                <w:szCs w:val="20"/>
              </w:rPr>
            </w:pPr>
            <w:r w:rsidRPr="00450C18">
              <w:rPr>
                <w:rFonts w:ascii="Arial" w:hAnsi="Arial" w:cs="Arial"/>
                <w:color w:val="010000"/>
                <w:sz w:val="20"/>
              </w:rPr>
              <w:t>Accumulated profit after tax transferred from the previous period</w:t>
            </w:r>
            <w:r w:rsidR="0083777A" w:rsidRPr="00450C18">
              <w:rPr>
                <w:rFonts w:ascii="Arial" w:hAnsi="Arial" w:cs="Arial"/>
                <w:color w:val="010000"/>
                <w:sz w:val="20"/>
              </w:rPr>
              <w:t>:</w:t>
            </w:r>
          </w:p>
        </w:tc>
        <w:tc>
          <w:tcPr>
            <w:tcW w:w="1570" w:type="pct"/>
            <w:shd w:val="clear" w:color="auto" w:fill="auto"/>
            <w:vAlign w:val="center"/>
          </w:tcPr>
          <w:p w14:paraId="0D15B5F9" w14:textId="77777777" w:rsidR="006D6F49" w:rsidRPr="00450C18" w:rsidRDefault="00B66838" w:rsidP="004E0F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C18">
              <w:rPr>
                <w:rFonts w:ascii="Arial" w:hAnsi="Arial" w:cs="Arial"/>
                <w:color w:val="010000"/>
                <w:sz w:val="20"/>
              </w:rPr>
              <w:t>VND 0</w:t>
            </w:r>
          </w:p>
        </w:tc>
      </w:tr>
      <w:tr w:rsidR="006D6F49" w:rsidRPr="00450C18" w14:paraId="795D2BEF" w14:textId="77777777" w:rsidTr="004E0F45">
        <w:tc>
          <w:tcPr>
            <w:tcW w:w="3430" w:type="pct"/>
            <w:shd w:val="clear" w:color="auto" w:fill="auto"/>
            <w:vAlign w:val="center"/>
          </w:tcPr>
          <w:p w14:paraId="44006DE3" w14:textId="769D8A37" w:rsidR="006D6F49" w:rsidRPr="00450C18" w:rsidRDefault="00B66838" w:rsidP="004E0F45">
            <w:pPr>
              <w:numPr>
                <w:ilvl w:val="0"/>
                <w:numId w:val="3"/>
              </w:numPr>
              <w:pBdr>
                <w:top w:val="nil"/>
                <w:left w:val="nil"/>
                <w:bottom w:val="nil"/>
                <w:right w:val="nil"/>
                <w:between w:val="nil"/>
              </w:pBdr>
              <w:tabs>
                <w:tab w:val="left" w:pos="432"/>
                <w:tab w:val="left" w:pos="2584"/>
              </w:tabs>
              <w:spacing w:after="120" w:line="360" w:lineRule="auto"/>
              <w:rPr>
                <w:rFonts w:ascii="Arial" w:eastAsia="Arial" w:hAnsi="Arial" w:cs="Arial"/>
                <w:color w:val="010000"/>
                <w:sz w:val="20"/>
                <w:szCs w:val="20"/>
              </w:rPr>
            </w:pPr>
            <w:r w:rsidRPr="00450C18">
              <w:rPr>
                <w:rFonts w:ascii="Arial" w:hAnsi="Arial" w:cs="Arial"/>
                <w:color w:val="010000"/>
                <w:sz w:val="20"/>
              </w:rPr>
              <w:t>Undistributed profit after tax (3)-(4)</w:t>
            </w:r>
            <w:r w:rsidR="0083777A" w:rsidRPr="00450C18">
              <w:rPr>
                <w:rFonts w:ascii="Arial" w:hAnsi="Arial" w:cs="Arial"/>
                <w:color w:val="010000"/>
                <w:sz w:val="20"/>
              </w:rPr>
              <w:t>:</w:t>
            </w:r>
          </w:p>
        </w:tc>
        <w:tc>
          <w:tcPr>
            <w:tcW w:w="1570" w:type="pct"/>
            <w:shd w:val="clear" w:color="auto" w:fill="auto"/>
            <w:vAlign w:val="center"/>
          </w:tcPr>
          <w:p w14:paraId="5F848131" w14:textId="77777777" w:rsidR="006D6F49" w:rsidRPr="00450C18" w:rsidRDefault="00B66838" w:rsidP="004E0F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C18">
              <w:rPr>
                <w:rFonts w:ascii="Arial" w:hAnsi="Arial" w:cs="Arial"/>
                <w:color w:val="010000"/>
                <w:sz w:val="20"/>
              </w:rPr>
              <w:t>VND 3,430,974,602</w:t>
            </w:r>
          </w:p>
        </w:tc>
      </w:tr>
      <w:tr w:rsidR="006D6F49" w:rsidRPr="00450C18" w14:paraId="332C03F5" w14:textId="77777777" w:rsidTr="004E0F45">
        <w:tc>
          <w:tcPr>
            <w:tcW w:w="3430" w:type="pct"/>
            <w:shd w:val="clear" w:color="auto" w:fill="auto"/>
            <w:vAlign w:val="center"/>
          </w:tcPr>
          <w:p w14:paraId="066B68B0" w14:textId="7F61DF17" w:rsidR="006D6F49" w:rsidRPr="00450C18" w:rsidRDefault="00B66838" w:rsidP="004E0F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C18">
              <w:rPr>
                <w:rFonts w:ascii="Arial" w:hAnsi="Arial" w:cs="Arial"/>
                <w:color w:val="010000"/>
                <w:sz w:val="20"/>
              </w:rPr>
              <w:t>Profit distribution</w:t>
            </w:r>
            <w:r w:rsidR="0083777A" w:rsidRPr="00450C18">
              <w:rPr>
                <w:rFonts w:ascii="Arial" w:hAnsi="Arial" w:cs="Arial"/>
                <w:color w:val="010000"/>
                <w:sz w:val="20"/>
              </w:rPr>
              <w:t>:</w:t>
            </w:r>
          </w:p>
        </w:tc>
        <w:tc>
          <w:tcPr>
            <w:tcW w:w="1570" w:type="pct"/>
            <w:shd w:val="clear" w:color="auto" w:fill="auto"/>
            <w:vAlign w:val="center"/>
          </w:tcPr>
          <w:p w14:paraId="619BDAF6" w14:textId="77777777" w:rsidR="006D6F49" w:rsidRPr="00450C18" w:rsidRDefault="006D6F49" w:rsidP="004E0F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6D6F49" w:rsidRPr="00450C18" w14:paraId="70550A05" w14:textId="77777777" w:rsidTr="004E0F45">
        <w:tc>
          <w:tcPr>
            <w:tcW w:w="3430" w:type="pct"/>
            <w:shd w:val="clear" w:color="auto" w:fill="auto"/>
            <w:vAlign w:val="center"/>
          </w:tcPr>
          <w:p w14:paraId="3AA099C2" w14:textId="14CC5EE9" w:rsidR="006D6F49" w:rsidRPr="00450C18" w:rsidRDefault="00B66838" w:rsidP="004E0F45">
            <w:pPr>
              <w:numPr>
                <w:ilvl w:val="0"/>
                <w:numId w:val="9"/>
              </w:numPr>
              <w:pBdr>
                <w:top w:val="nil"/>
                <w:left w:val="nil"/>
                <w:bottom w:val="nil"/>
                <w:right w:val="nil"/>
                <w:between w:val="nil"/>
              </w:pBdr>
              <w:tabs>
                <w:tab w:val="left" w:pos="432"/>
                <w:tab w:val="left" w:pos="2636"/>
              </w:tabs>
              <w:spacing w:after="120" w:line="360" w:lineRule="auto"/>
              <w:rPr>
                <w:rFonts w:ascii="Arial" w:eastAsia="Arial" w:hAnsi="Arial" w:cs="Arial"/>
                <w:color w:val="010000"/>
                <w:sz w:val="20"/>
                <w:szCs w:val="20"/>
              </w:rPr>
            </w:pPr>
            <w:r w:rsidRPr="00450C18">
              <w:rPr>
                <w:rFonts w:ascii="Arial" w:hAnsi="Arial" w:cs="Arial"/>
                <w:color w:val="010000"/>
                <w:sz w:val="20"/>
              </w:rPr>
              <w:t>Appropriation for investment and development funds of 20.75%</w:t>
            </w:r>
            <w:r w:rsidR="0083777A" w:rsidRPr="00450C18">
              <w:rPr>
                <w:rFonts w:ascii="Arial" w:hAnsi="Arial" w:cs="Arial"/>
                <w:color w:val="010000"/>
                <w:sz w:val="20"/>
              </w:rPr>
              <w:t>:</w:t>
            </w:r>
          </w:p>
        </w:tc>
        <w:tc>
          <w:tcPr>
            <w:tcW w:w="1570" w:type="pct"/>
            <w:shd w:val="clear" w:color="auto" w:fill="auto"/>
            <w:vAlign w:val="center"/>
          </w:tcPr>
          <w:p w14:paraId="3E377374" w14:textId="77777777" w:rsidR="006D6F49" w:rsidRPr="00450C18" w:rsidRDefault="00B66838" w:rsidP="004E0F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C18">
              <w:rPr>
                <w:rFonts w:ascii="Arial" w:hAnsi="Arial" w:cs="Arial"/>
                <w:color w:val="010000"/>
                <w:sz w:val="20"/>
              </w:rPr>
              <w:t>VND 711,979,682</w:t>
            </w:r>
          </w:p>
        </w:tc>
      </w:tr>
      <w:tr w:rsidR="006D6F49" w:rsidRPr="00450C18" w14:paraId="6110D590" w14:textId="77777777" w:rsidTr="004E0F45">
        <w:tc>
          <w:tcPr>
            <w:tcW w:w="3430" w:type="pct"/>
            <w:shd w:val="clear" w:color="auto" w:fill="auto"/>
            <w:vAlign w:val="center"/>
          </w:tcPr>
          <w:p w14:paraId="096E5CB4" w14:textId="68B87C60" w:rsidR="006D6F49" w:rsidRPr="00450C18" w:rsidRDefault="00B66838" w:rsidP="004E0F45">
            <w:pPr>
              <w:numPr>
                <w:ilvl w:val="0"/>
                <w:numId w:val="9"/>
              </w:numPr>
              <w:pBdr>
                <w:top w:val="nil"/>
                <w:left w:val="nil"/>
                <w:bottom w:val="nil"/>
                <w:right w:val="nil"/>
                <w:between w:val="nil"/>
              </w:pBdr>
              <w:tabs>
                <w:tab w:val="left" w:pos="432"/>
                <w:tab w:val="left" w:pos="2636"/>
              </w:tabs>
              <w:spacing w:after="120" w:line="360" w:lineRule="auto"/>
              <w:rPr>
                <w:rFonts w:ascii="Arial" w:eastAsia="Arial" w:hAnsi="Arial" w:cs="Arial"/>
                <w:color w:val="010000"/>
                <w:sz w:val="20"/>
                <w:szCs w:val="20"/>
              </w:rPr>
            </w:pPr>
            <w:r w:rsidRPr="00450C18">
              <w:rPr>
                <w:rFonts w:ascii="Arial" w:hAnsi="Arial" w:cs="Arial"/>
                <w:color w:val="010000"/>
                <w:sz w:val="20"/>
              </w:rPr>
              <w:t>Appropriation for bonus and welfare fund (20%)</w:t>
            </w:r>
            <w:r w:rsidR="0083777A" w:rsidRPr="00450C18">
              <w:rPr>
                <w:rFonts w:ascii="Arial" w:hAnsi="Arial" w:cs="Arial"/>
                <w:color w:val="010000"/>
                <w:sz w:val="20"/>
              </w:rPr>
              <w:t>:</w:t>
            </w:r>
          </w:p>
        </w:tc>
        <w:tc>
          <w:tcPr>
            <w:tcW w:w="1570" w:type="pct"/>
            <w:shd w:val="clear" w:color="auto" w:fill="auto"/>
            <w:vAlign w:val="center"/>
          </w:tcPr>
          <w:p w14:paraId="69E714AB" w14:textId="77777777" w:rsidR="006D6F49" w:rsidRPr="00450C18" w:rsidRDefault="00B66838" w:rsidP="004E0F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C18">
              <w:rPr>
                <w:rFonts w:ascii="Arial" w:hAnsi="Arial" w:cs="Arial"/>
                <w:color w:val="010000"/>
                <w:sz w:val="20"/>
              </w:rPr>
              <w:t>VND 686,194,920</w:t>
            </w:r>
          </w:p>
        </w:tc>
      </w:tr>
      <w:tr w:rsidR="006D6F49" w:rsidRPr="00450C18" w14:paraId="7891D146" w14:textId="77777777" w:rsidTr="004E0F45">
        <w:tc>
          <w:tcPr>
            <w:tcW w:w="3430" w:type="pct"/>
            <w:shd w:val="clear" w:color="auto" w:fill="auto"/>
            <w:vAlign w:val="center"/>
          </w:tcPr>
          <w:p w14:paraId="5DDDCF4D" w14:textId="08885502" w:rsidR="006D6F49" w:rsidRPr="00450C18" w:rsidRDefault="00B66838" w:rsidP="004E0F45">
            <w:pPr>
              <w:numPr>
                <w:ilvl w:val="0"/>
                <w:numId w:val="9"/>
              </w:numPr>
              <w:pBdr>
                <w:top w:val="nil"/>
                <w:left w:val="nil"/>
                <w:bottom w:val="nil"/>
                <w:right w:val="nil"/>
                <w:between w:val="nil"/>
              </w:pBdr>
              <w:tabs>
                <w:tab w:val="left" w:pos="432"/>
                <w:tab w:val="left" w:pos="2636"/>
              </w:tabs>
              <w:spacing w:after="120" w:line="360" w:lineRule="auto"/>
              <w:rPr>
                <w:rFonts w:ascii="Arial" w:eastAsia="Arial" w:hAnsi="Arial" w:cs="Arial"/>
                <w:color w:val="010000"/>
                <w:sz w:val="20"/>
                <w:szCs w:val="20"/>
              </w:rPr>
            </w:pPr>
            <w:r w:rsidRPr="00450C18">
              <w:rPr>
                <w:rFonts w:ascii="Arial" w:hAnsi="Arial" w:cs="Arial"/>
                <w:color w:val="010000"/>
                <w:sz w:val="20"/>
              </w:rPr>
              <w:t>Dividend payment (59.25%)</w:t>
            </w:r>
            <w:r w:rsidR="0083777A" w:rsidRPr="00450C18">
              <w:rPr>
                <w:rFonts w:ascii="Arial" w:hAnsi="Arial" w:cs="Arial"/>
                <w:color w:val="010000"/>
                <w:sz w:val="20"/>
              </w:rPr>
              <w:t>:</w:t>
            </w:r>
          </w:p>
        </w:tc>
        <w:tc>
          <w:tcPr>
            <w:tcW w:w="1570" w:type="pct"/>
            <w:shd w:val="clear" w:color="auto" w:fill="auto"/>
            <w:vAlign w:val="center"/>
          </w:tcPr>
          <w:p w14:paraId="21669C95" w14:textId="77777777" w:rsidR="006D6F49" w:rsidRPr="00450C18" w:rsidRDefault="00B66838" w:rsidP="004E0F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C18">
              <w:rPr>
                <w:rFonts w:ascii="Arial" w:hAnsi="Arial" w:cs="Arial"/>
                <w:color w:val="010000"/>
                <w:sz w:val="20"/>
              </w:rPr>
              <w:t>VND 2,032,800,000</w:t>
            </w:r>
          </w:p>
        </w:tc>
      </w:tr>
      <w:tr w:rsidR="006D6F49" w:rsidRPr="00450C18" w14:paraId="6C29A5A9" w14:textId="77777777" w:rsidTr="004E0F45">
        <w:tc>
          <w:tcPr>
            <w:tcW w:w="3430" w:type="pct"/>
            <w:shd w:val="clear" w:color="auto" w:fill="auto"/>
            <w:vAlign w:val="center"/>
          </w:tcPr>
          <w:p w14:paraId="0D165FC5" w14:textId="7131D0F1" w:rsidR="006D6F49" w:rsidRPr="00450C18" w:rsidRDefault="00B66838" w:rsidP="004E0F45">
            <w:pPr>
              <w:pBdr>
                <w:top w:val="nil"/>
                <w:left w:val="nil"/>
                <w:bottom w:val="nil"/>
                <w:right w:val="nil"/>
                <w:between w:val="nil"/>
              </w:pBdr>
              <w:tabs>
                <w:tab w:val="left" w:pos="432"/>
                <w:tab w:val="left" w:pos="2584"/>
              </w:tabs>
              <w:spacing w:after="120" w:line="360" w:lineRule="auto"/>
              <w:rPr>
                <w:rFonts w:ascii="Arial" w:eastAsia="Arial" w:hAnsi="Arial" w:cs="Arial"/>
                <w:color w:val="010000"/>
                <w:sz w:val="20"/>
                <w:szCs w:val="20"/>
              </w:rPr>
            </w:pPr>
            <w:r w:rsidRPr="00450C18">
              <w:rPr>
                <w:rFonts w:ascii="Arial" w:hAnsi="Arial" w:cs="Arial"/>
                <w:color w:val="010000"/>
                <w:sz w:val="20"/>
              </w:rPr>
              <w:t>6.</w:t>
            </w:r>
            <w:r w:rsidR="00031C2E" w:rsidRPr="00450C18">
              <w:rPr>
                <w:rFonts w:ascii="Arial" w:hAnsi="Arial" w:cs="Arial"/>
                <w:color w:val="010000"/>
                <w:sz w:val="20"/>
              </w:rPr>
              <w:t xml:space="preserve"> </w:t>
            </w:r>
            <w:r w:rsidRPr="00450C18">
              <w:rPr>
                <w:rFonts w:ascii="Arial" w:hAnsi="Arial" w:cs="Arial"/>
                <w:color w:val="010000"/>
                <w:sz w:val="20"/>
              </w:rPr>
              <w:t>Retained undistributed profit</w:t>
            </w:r>
            <w:r w:rsidR="0083777A" w:rsidRPr="00450C18">
              <w:rPr>
                <w:rFonts w:ascii="Arial" w:hAnsi="Arial" w:cs="Arial"/>
                <w:color w:val="010000"/>
                <w:sz w:val="20"/>
              </w:rPr>
              <w:t>:</w:t>
            </w:r>
          </w:p>
        </w:tc>
        <w:tc>
          <w:tcPr>
            <w:tcW w:w="1570" w:type="pct"/>
            <w:shd w:val="clear" w:color="auto" w:fill="auto"/>
            <w:vAlign w:val="center"/>
          </w:tcPr>
          <w:p w14:paraId="2E64CD6D" w14:textId="77777777" w:rsidR="006D6F49" w:rsidRPr="00450C18" w:rsidRDefault="00B66838" w:rsidP="004E0F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C18">
              <w:rPr>
                <w:rFonts w:ascii="Arial" w:hAnsi="Arial" w:cs="Arial"/>
                <w:color w:val="010000"/>
                <w:sz w:val="20"/>
              </w:rPr>
              <w:t>VND 0</w:t>
            </w:r>
          </w:p>
        </w:tc>
      </w:tr>
    </w:tbl>
    <w:p w14:paraId="14C54726" w14:textId="77777777" w:rsidR="006D6F49" w:rsidRPr="00450C18" w:rsidRDefault="00B66838" w:rsidP="004E0F45">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C18">
        <w:rPr>
          <w:rFonts w:ascii="Arial" w:hAnsi="Arial" w:cs="Arial"/>
          <w:color w:val="010000"/>
          <w:sz w:val="20"/>
        </w:rPr>
        <w:t>‎‎Article 8. Approve the Project to restructure and reorganize Vinafood 1 Flour Joint Stock Company for the 2021-2025 period.</w:t>
      </w:r>
    </w:p>
    <w:p w14:paraId="6F472EEE" w14:textId="77777777" w:rsidR="006D6F49" w:rsidRPr="00450C18" w:rsidRDefault="00B66838" w:rsidP="004E0F45">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C18">
        <w:rPr>
          <w:rFonts w:ascii="Arial" w:hAnsi="Arial" w:cs="Arial"/>
          <w:color w:val="010000"/>
          <w:sz w:val="20"/>
        </w:rPr>
        <w:t>‎‎Article 9. Terms of enforcement</w:t>
      </w:r>
    </w:p>
    <w:p w14:paraId="18E04E29" w14:textId="77777777" w:rsidR="006D6F49" w:rsidRPr="00450C18" w:rsidRDefault="00B66838" w:rsidP="004E0F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C18">
        <w:rPr>
          <w:rFonts w:ascii="Arial" w:hAnsi="Arial" w:cs="Arial"/>
          <w:color w:val="010000"/>
          <w:sz w:val="20"/>
        </w:rPr>
        <w:t>This General Mandate takes effect from the date of its signing. The Board of Directors and the Supervisory</w:t>
      </w:r>
      <w:r w:rsidR="009F3804" w:rsidRPr="00450C18">
        <w:rPr>
          <w:rFonts w:ascii="Arial" w:hAnsi="Arial" w:cs="Arial"/>
          <w:color w:val="010000"/>
          <w:sz w:val="20"/>
        </w:rPr>
        <w:t xml:space="preserve"> Board, and the Board of Managers </w:t>
      </w:r>
      <w:r w:rsidRPr="00450C18">
        <w:rPr>
          <w:rFonts w:ascii="Arial" w:hAnsi="Arial" w:cs="Arial"/>
          <w:color w:val="010000"/>
          <w:sz w:val="20"/>
        </w:rPr>
        <w:t>of the Company are responsible for implementing this General Mandate.</w:t>
      </w:r>
    </w:p>
    <w:p w14:paraId="70232B5F" w14:textId="77777777" w:rsidR="006D6F49" w:rsidRPr="00450C18" w:rsidRDefault="00B66838" w:rsidP="004E0F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C18">
        <w:rPr>
          <w:rFonts w:ascii="Arial" w:hAnsi="Arial" w:cs="Arial"/>
          <w:color w:val="010000"/>
          <w:sz w:val="20"/>
        </w:rPr>
        <w:lastRenderedPageBreak/>
        <w:t xml:space="preserve">This General Mandate includes 04 pages, prepared, and approved in full text at the Annual General Meeting of Shareholders </w:t>
      </w:r>
      <w:r w:rsidR="009F3804" w:rsidRPr="00450C18">
        <w:rPr>
          <w:rFonts w:ascii="Arial" w:hAnsi="Arial" w:cs="Arial"/>
          <w:color w:val="010000"/>
          <w:sz w:val="20"/>
        </w:rPr>
        <w:t>202</w:t>
      </w:r>
      <w:r w:rsidRPr="00450C18">
        <w:rPr>
          <w:rFonts w:ascii="Arial" w:hAnsi="Arial" w:cs="Arial"/>
          <w:color w:val="010000"/>
          <w:sz w:val="20"/>
        </w:rPr>
        <w:t>4 of Vinafood 1 Flour Joint Stock Company.</w:t>
      </w:r>
      <w:bookmarkEnd w:id="1"/>
    </w:p>
    <w:sectPr w:rsidR="006D6F49" w:rsidRPr="00450C18" w:rsidSect="004E0F4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208B"/>
    <w:multiLevelType w:val="multilevel"/>
    <w:tmpl w:val="5C1AE87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63B7DDF"/>
    <w:multiLevelType w:val="multilevel"/>
    <w:tmpl w:val="68CCCA4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1106480"/>
    <w:multiLevelType w:val="multilevel"/>
    <w:tmpl w:val="8514F42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4666F6D"/>
    <w:multiLevelType w:val="multilevel"/>
    <w:tmpl w:val="02AA7AA4"/>
    <w:lvl w:ilvl="0">
      <w:start w:val="1"/>
      <w:numFmt w:val="bullet"/>
      <w:lvlText w:val="-"/>
      <w:lvlJc w:val="left"/>
      <w:pPr>
        <w:ind w:left="0" w:firstLine="0"/>
      </w:pPr>
      <w:rPr>
        <w:rFonts w:ascii="Arial" w:eastAsia="Arial" w:hAnsi="Arial" w:cs="Arial"/>
        <w:b w:val="0"/>
        <w:i w:val="0"/>
        <w:smallCaps w:val="0"/>
        <w:strike w:val="0"/>
        <w:color w:val="383838"/>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0AA5C39"/>
    <w:multiLevelType w:val="multilevel"/>
    <w:tmpl w:val="E264BDFC"/>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6664C12"/>
    <w:multiLevelType w:val="multilevel"/>
    <w:tmpl w:val="EFB21790"/>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219376B"/>
    <w:multiLevelType w:val="multilevel"/>
    <w:tmpl w:val="FF982578"/>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22749A"/>
    <w:multiLevelType w:val="multilevel"/>
    <w:tmpl w:val="113447E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67E20D18"/>
    <w:multiLevelType w:val="multilevel"/>
    <w:tmpl w:val="3D8A2482"/>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6"/>
  </w:num>
  <w:num w:numId="3">
    <w:abstractNumId w:val="1"/>
  </w:num>
  <w:num w:numId="4">
    <w:abstractNumId w:val="8"/>
  </w:num>
  <w:num w:numId="5">
    <w:abstractNumId w:val="4"/>
  </w:num>
  <w:num w:numId="6">
    <w:abstractNumId w:val="5"/>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49"/>
    <w:rsid w:val="00031C2E"/>
    <w:rsid w:val="00116EBA"/>
    <w:rsid w:val="0042076D"/>
    <w:rsid w:val="00450C18"/>
    <w:rsid w:val="004E0F45"/>
    <w:rsid w:val="005C499D"/>
    <w:rsid w:val="006D6F49"/>
    <w:rsid w:val="0083777A"/>
    <w:rsid w:val="008F6CD0"/>
    <w:rsid w:val="009A3A52"/>
    <w:rsid w:val="009F3804"/>
    <w:rsid w:val="00B66838"/>
    <w:rsid w:val="00D54F77"/>
    <w:rsid w:val="00E73F9C"/>
    <w:rsid w:val="00EE3708"/>
    <w:rsid w:val="00F94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08CFD"/>
  <w15:docId w15:val="{BCCC946D-79F5-46F0-9E67-914FBDB4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C51E44"/>
      <w:sz w:val="16"/>
      <w:szCs w:val="1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842C60"/>
      <w:sz w:val="26"/>
      <w:szCs w:val="26"/>
      <w:u w:val="none"/>
      <w:shd w:val="clear" w:color="auto" w:fill="auto"/>
    </w:rPr>
  </w:style>
  <w:style w:type="paragraph" w:customStyle="1" w:styleId="Bodytext20">
    <w:name w:val="Body text (2)"/>
    <w:basedOn w:val="Normal"/>
    <w:link w:val="Bodytext2"/>
    <w:pPr>
      <w:jc w:val="center"/>
    </w:pPr>
    <w:rPr>
      <w:rFonts w:ascii="Times New Roman" w:eastAsia="Times New Roman" w:hAnsi="Times New Roman" w:cs="Times New Roman"/>
      <w:b/>
      <w:bCs/>
      <w:sz w:val="22"/>
      <w:szCs w:val="22"/>
    </w:rPr>
  </w:style>
  <w:style w:type="paragraph" w:styleId="BodyText">
    <w:name w:val="Body Text"/>
    <w:basedOn w:val="Normal"/>
    <w:link w:val="BodyTextChar"/>
    <w:qFormat/>
    <w:pPr>
      <w:spacing w:line="293" w:lineRule="auto"/>
      <w:ind w:firstLine="20"/>
    </w:pPr>
    <w:rPr>
      <w:rFonts w:ascii="Times New Roman" w:eastAsia="Times New Roman" w:hAnsi="Times New Roman" w:cs="Times New Roman"/>
      <w:sz w:val="26"/>
      <w:szCs w:val="26"/>
    </w:rPr>
  </w:style>
  <w:style w:type="paragraph" w:customStyle="1" w:styleId="Bodytext60">
    <w:name w:val="Body text (6)"/>
    <w:basedOn w:val="Normal"/>
    <w:link w:val="Bodytext6"/>
    <w:rPr>
      <w:rFonts w:ascii="Times New Roman" w:eastAsia="Times New Roman" w:hAnsi="Times New Roman" w:cs="Times New Roman"/>
      <w:color w:val="FF0000"/>
      <w:sz w:val="10"/>
      <w:szCs w:val="10"/>
    </w:rPr>
  </w:style>
  <w:style w:type="paragraph" w:customStyle="1" w:styleId="Bodytext30">
    <w:name w:val="Body text (3)"/>
    <w:basedOn w:val="Normal"/>
    <w:link w:val="Bodytext3"/>
    <w:pPr>
      <w:spacing w:line="226" w:lineRule="auto"/>
    </w:pPr>
    <w:rPr>
      <w:rFonts w:ascii="Times New Roman" w:eastAsia="Times New Roman" w:hAnsi="Times New Roman" w:cs="Times New Roman"/>
      <w:color w:val="FF0000"/>
      <w:sz w:val="17"/>
      <w:szCs w:val="17"/>
    </w:rPr>
  </w:style>
  <w:style w:type="paragraph" w:customStyle="1" w:styleId="Bodytext50">
    <w:name w:val="Body text (5)"/>
    <w:basedOn w:val="Normal"/>
    <w:link w:val="Bodytext5"/>
    <w:pPr>
      <w:spacing w:line="324" w:lineRule="auto"/>
    </w:pPr>
    <w:rPr>
      <w:rFonts w:ascii="Arial" w:eastAsia="Arial" w:hAnsi="Arial" w:cs="Arial"/>
      <w:color w:val="C51E44"/>
      <w:sz w:val="16"/>
      <w:szCs w:val="16"/>
    </w:rPr>
  </w:style>
  <w:style w:type="paragraph" w:customStyle="1" w:styleId="Heading11">
    <w:name w:val="Heading #1"/>
    <w:basedOn w:val="Normal"/>
    <w:link w:val="Heading10"/>
    <w:pPr>
      <w:spacing w:line="293" w:lineRule="auto"/>
      <w:ind w:left="1850"/>
      <w:outlineLvl w:val="0"/>
    </w:pPr>
    <w:rPr>
      <w:rFonts w:ascii="Times New Roman" w:eastAsia="Times New Roman" w:hAnsi="Times New Roman" w:cs="Times New Roman"/>
      <w:b/>
      <w:bCs/>
      <w:sz w:val="26"/>
      <w:szCs w:val="26"/>
    </w:rPr>
  </w:style>
  <w:style w:type="paragraph" w:customStyle="1" w:styleId="Bodytext40">
    <w:name w:val="Body text (4)"/>
    <w:basedOn w:val="Normal"/>
    <w:link w:val="Bodytext4"/>
    <w:pPr>
      <w:spacing w:line="245" w:lineRule="exact"/>
      <w:jc w:val="center"/>
    </w:pPr>
    <w:rPr>
      <w:rFonts w:ascii="Arial" w:eastAsia="Arial" w:hAnsi="Arial" w:cs="Arial"/>
      <w:color w:val="842C60"/>
      <w:sz w:val="26"/>
      <w:szCs w:val="26"/>
    </w:rPr>
  </w:style>
  <w:style w:type="table" w:styleId="TableGrid">
    <w:name w:val="Table Grid"/>
    <w:basedOn w:val="TableNormal"/>
    <w:uiPriority w:val="39"/>
    <w:rsid w:val="0061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2E"/>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dJqqqK+iPCpA//b9nowwSLarIw==">CgMxLjAyCGguZ2pkZ3hzOAByITFkUEJqNnpoWTBNQzE2aDF2NXY3OUtUZDdRSHd4WTQ3OQ==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960</Words>
  <Characters>5159</Characters>
  <Application>Microsoft Office Word</Application>
  <DocSecurity>0</DocSecurity>
  <Lines>132</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Sao Khue</cp:lastModifiedBy>
  <cp:revision>15</cp:revision>
  <dcterms:created xsi:type="dcterms:W3CDTF">2024-06-11T03:36:00Z</dcterms:created>
  <dcterms:modified xsi:type="dcterms:W3CDTF">2024-06-13T01:39:00Z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3506da88ace80b69498f35ec0d1029a369bf914dae3c98a8f7d6453fd688ca33</vt:lpwstr>
  </property>
</Properties>
</file>