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14FAA91" w:rsidR="00F3205E" w:rsidRPr="0015068B" w:rsidRDefault="00882D76" w:rsidP="00D52F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15068B">
        <w:rPr>
          <w:rFonts w:ascii="Arial" w:hAnsi="Arial" w:cs="Arial"/>
          <w:b/>
          <w:bCs/>
          <w:color w:val="010000"/>
          <w:sz w:val="20"/>
        </w:rPr>
        <w:t>L62:</w:t>
      </w:r>
      <w:r w:rsidRPr="0015068B">
        <w:rPr>
          <w:rFonts w:ascii="Arial" w:hAnsi="Arial" w:cs="Arial"/>
          <w:b/>
          <w:color w:val="010000"/>
          <w:sz w:val="20"/>
        </w:rPr>
        <w:t xml:space="preserve"> </w:t>
      </w:r>
      <w:r w:rsidR="00D52F7F">
        <w:rPr>
          <w:rFonts w:ascii="Arial" w:hAnsi="Arial" w:cs="Arial"/>
          <w:b/>
          <w:color w:val="010000"/>
          <w:sz w:val="20"/>
        </w:rPr>
        <w:t>Explanation on and remedy for L62 stock under trading restriction</w:t>
      </w:r>
    </w:p>
    <w:p w14:paraId="00000002" w14:textId="463B8443" w:rsidR="00F3205E" w:rsidRPr="0015068B" w:rsidRDefault="00882D76" w:rsidP="00D52F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068B">
        <w:rPr>
          <w:rFonts w:ascii="Arial" w:hAnsi="Arial" w:cs="Arial"/>
          <w:color w:val="010000"/>
          <w:sz w:val="20"/>
        </w:rPr>
        <w:t>On June 11, 2024, LILAMA 69-2 Joint Stock Company announced Official Dispatch No.15/CV – 2024 on explanation</w:t>
      </w:r>
      <w:r w:rsidR="00D52F7F">
        <w:rPr>
          <w:rFonts w:ascii="Arial" w:hAnsi="Arial" w:cs="Arial"/>
          <w:color w:val="010000"/>
          <w:sz w:val="20"/>
        </w:rPr>
        <w:t xml:space="preserve"> on</w:t>
      </w:r>
      <w:r w:rsidRPr="0015068B">
        <w:rPr>
          <w:rFonts w:ascii="Arial" w:hAnsi="Arial" w:cs="Arial"/>
          <w:color w:val="010000"/>
          <w:sz w:val="20"/>
        </w:rPr>
        <w:t xml:space="preserve"> and </w:t>
      </w:r>
      <w:r w:rsidR="00D52F7F">
        <w:rPr>
          <w:rFonts w:ascii="Arial" w:hAnsi="Arial" w:cs="Arial"/>
          <w:color w:val="010000"/>
          <w:sz w:val="20"/>
        </w:rPr>
        <w:t xml:space="preserve">remedy for trading restriction </w:t>
      </w:r>
      <w:bookmarkStart w:id="1" w:name="_GoBack"/>
      <w:bookmarkEnd w:id="1"/>
      <w:r w:rsidRPr="0015068B">
        <w:rPr>
          <w:rFonts w:ascii="Arial" w:hAnsi="Arial" w:cs="Arial"/>
          <w:color w:val="010000"/>
          <w:sz w:val="20"/>
        </w:rPr>
        <w:t>as follows:</w:t>
      </w:r>
    </w:p>
    <w:p w14:paraId="00000003" w14:textId="41359DB5" w:rsidR="00F3205E" w:rsidRPr="0015068B" w:rsidRDefault="00882D76" w:rsidP="00D52F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068B">
        <w:rPr>
          <w:rFonts w:ascii="Arial" w:hAnsi="Arial" w:cs="Arial"/>
          <w:color w:val="010000"/>
          <w:sz w:val="20"/>
        </w:rPr>
        <w:t xml:space="preserve">The balances of overdue receivables and the significant volume of </w:t>
      </w:r>
      <w:r w:rsidR="00D52F7F">
        <w:rPr>
          <w:rFonts w:ascii="Arial" w:hAnsi="Arial" w:cs="Arial"/>
          <w:color w:val="010000"/>
          <w:sz w:val="20"/>
        </w:rPr>
        <w:t>work-in-progress</w:t>
      </w:r>
      <w:r w:rsidRPr="0015068B">
        <w:rPr>
          <w:rFonts w:ascii="Arial" w:hAnsi="Arial" w:cs="Arial"/>
          <w:color w:val="010000"/>
          <w:sz w:val="20"/>
        </w:rPr>
        <w:t xml:space="preserve"> are large, lacking confirmation from the investor, so the </w:t>
      </w:r>
      <w:r w:rsidR="00D52F7F">
        <w:rPr>
          <w:rFonts w:ascii="Arial" w:hAnsi="Arial" w:cs="Arial"/>
          <w:color w:val="010000"/>
          <w:sz w:val="20"/>
        </w:rPr>
        <w:t>Company</w:t>
      </w:r>
      <w:r w:rsidRPr="0015068B">
        <w:rPr>
          <w:rFonts w:ascii="Arial" w:hAnsi="Arial" w:cs="Arial"/>
          <w:color w:val="010000"/>
          <w:sz w:val="20"/>
        </w:rPr>
        <w:t xml:space="preserve"> lacks grounds for provision. Prepaid receivables and other payables remain largely unverified, with a low reconciliation rate. The Company’s short-term payables are higher than short-term assets.</w:t>
      </w:r>
    </w:p>
    <w:p w14:paraId="00000004" w14:textId="33A750C6" w:rsidR="00F3205E" w:rsidRPr="0015068B" w:rsidRDefault="00882D76" w:rsidP="00D52F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068B">
        <w:rPr>
          <w:rFonts w:ascii="Arial" w:hAnsi="Arial" w:cs="Arial"/>
          <w:color w:val="010000"/>
          <w:sz w:val="20"/>
        </w:rPr>
        <w:t xml:space="preserve">The Company has been struggling with </w:t>
      </w:r>
      <w:r w:rsidR="00E0119E" w:rsidRPr="0015068B">
        <w:rPr>
          <w:rFonts w:ascii="Arial" w:hAnsi="Arial" w:cs="Arial"/>
          <w:color w:val="010000"/>
          <w:sz w:val="20"/>
        </w:rPr>
        <w:t>several</w:t>
      </w:r>
      <w:r w:rsidRPr="0015068B">
        <w:rPr>
          <w:rFonts w:ascii="Arial" w:hAnsi="Arial" w:cs="Arial"/>
          <w:color w:val="010000"/>
          <w:sz w:val="20"/>
        </w:rPr>
        <w:t xml:space="preserve"> difficulties in production and business activities, </w:t>
      </w:r>
      <w:r w:rsidR="00DC27DA" w:rsidRPr="0015068B">
        <w:rPr>
          <w:rFonts w:ascii="Arial" w:hAnsi="Arial" w:cs="Arial"/>
          <w:color w:val="010000"/>
          <w:sz w:val="20"/>
        </w:rPr>
        <w:t>failing to repay</w:t>
      </w:r>
      <w:r w:rsidRPr="0015068B">
        <w:rPr>
          <w:rFonts w:ascii="Arial" w:hAnsi="Arial" w:cs="Arial"/>
          <w:color w:val="010000"/>
          <w:sz w:val="20"/>
        </w:rPr>
        <w:t xml:space="preserve"> </w:t>
      </w:r>
      <w:r w:rsidR="00DC27DA" w:rsidRPr="0015068B">
        <w:rPr>
          <w:rFonts w:ascii="Arial" w:hAnsi="Arial" w:cs="Arial"/>
          <w:color w:val="010000"/>
          <w:sz w:val="20"/>
        </w:rPr>
        <w:t>loan to</w:t>
      </w:r>
      <w:r w:rsidRPr="0015068B">
        <w:rPr>
          <w:rFonts w:ascii="Arial" w:hAnsi="Arial" w:cs="Arial"/>
          <w:color w:val="010000"/>
          <w:sz w:val="20"/>
        </w:rPr>
        <w:t xml:space="preserve"> the Banks on time, leading to </w:t>
      </w:r>
      <w:r w:rsidR="00D52F7F">
        <w:rPr>
          <w:rFonts w:ascii="Arial" w:hAnsi="Arial" w:cs="Arial"/>
          <w:color w:val="010000"/>
          <w:sz w:val="20"/>
        </w:rPr>
        <w:t>its classification in bad debt group</w:t>
      </w:r>
      <w:r w:rsidR="002D5D4D" w:rsidRPr="0015068B">
        <w:rPr>
          <w:rFonts w:ascii="Arial" w:hAnsi="Arial" w:cs="Arial"/>
          <w:color w:val="010000"/>
          <w:sz w:val="20"/>
        </w:rPr>
        <w:t xml:space="preserve"> </w:t>
      </w:r>
      <w:r w:rsidRPr="0015068B">
        <w:rPr>
          <w:rFonts w:ascii="Arial" w:hAnsi="Arial" w:cs="Arial"/>
          <w:color w:val="010000"/>
          <w:sz w:val="20"/>
        </w:rPr>
        <w:t xml:space="preserve">and </w:t>
      </w:r>
      <w:r w:rsidR="00D52F7F">
        <w:rPr>
          <w:rFonts w:ascii="Arial" w:hAnsi="Arial" w:cs="Arial"/>
          <w:color w:val="010000"/>
          <w:sz w:val="20"/>
        </w:rPr>
        <w:t xml:space="preserve">exposure to </w:t>
      </w:r>
      <w:r w:rsidRPr="0015068B">
        <w:rPr>
          <w:rFonts w:ascii="Arial" w:hAnsi="Arial" w:cs="Arial"/>
          <w:color w:val="010000"/>
          <w:sz w:val="20"/>
        </w:rPr>
        <w:t xml:space="preserve">high interest rates (with the interest rate equal to 150% of </w:t>
      </w:r>
      <w:r w:rsidR="00E0119E" w:rsidRPr="0015068B">
        <w:rPr>
          <w:rFonts w:ascii="Arial" w:hAnsi="Arial" w:cs="Arial"/>
          <w:color w:val="010000"/>
          <w:sz w:val="20"/>
        </w:rPr>
        <w:t xml:space="preserve">the </w:t>
      </w:r>
      <w:r w:rsidRPr="0015068B">
        <w:rPr>
          <w:rFonts w:ascii="Arial" w:hAnsi="Arial" w:cs="Arial"/>
          <w:color w:val="010000"/>
          <w:sz w:val="20"/>
        </w:rPr>
        <w:t>borrowing interest rate).</w:t>
      </w:r>
      <w:r w:rsidR="00396FEC" w:rsidRPr="0015068B">
        <w:rPr>
          <w:rFonts w:ascii="Arial" w:hAnsi="Arial" w:cs="Arial"/>
          <w:color w:val="010000"/>
          <w:sz w:val="20"/>
        </w:rPr>
        <w:t xml:space="preserve"> </w:t>
      </w:r>
      <w:r w:rsidRPr="0015068B">
        <w:rPr>
          <w:rFonts w:ascii="Arial" w:hAnsi="Arial" w:cs="Arial"/>
          <w:color w:val="010000"/>
          <w:sz w:val="20"/>
        </w:rPr>
        <w:t>Profit after tax of the Financial Statements on December 31, 2023 incurred a significant loss leading to negative owner's equity.</w:t>
      </w:r>
    </w:p>
    <w:p w14:paraId="00000005" w14:textId="31CEE66D" w:rsidR="00F3205E" w:rsidRPr="0015068B" w:rsidRDefault="00882D76" w:rsidP="00D52F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068B">
        <w:rPr>
          <w:rFonts w:ascii="Arial" w:hAnsi="Arial" w:cs="Arial"/>
          <w:color w:val="010000"/>
          <w:sz w:val="20"/>
        </w:rPr>
        <w:t xml:space="preserve">In 2024, the Company has been working with DATC to reconstruct finance, as well as actively </w:t>
      </w:r>
      <w:r w:rsidR="00E0119E" w:rsidRPr="0015068B">
        <w:rPr>
          <w:rFonts w:ascii="Arial" w:hAnsi="Arial" w:cs="Arial"/>
          <w:color w:val="010000"/>
          <w:sz w:val="20"/>
        </w:rPr>
        <w:t>looking</w:t>
      </w:r>
      <w:r w:rsidRPr="0015068B">
        <w:rPr>
          <w:rFonts w:ascii="Arial" w:hAnsi="Arial" w:cs="Arial"/>
          <w:color w:val="010000"/>
          <w:sz w:val="20"/>
        </w:rPr>
        <w:t xml:space="preserve"> for work for the stability of production and business activities of the Company.</w:t>
      </w:r>
      <w:r w:rsidR="00396FEC" w:rsidRPr="0015068B">
        <w:rPr>
          <w:rFonts w:ascii="Arial" w:hAnsi="Arial" w:cs="Arial"/>
          <w:color w:val="010000"/>
          <w:sz w:val="20"/>
        </w:rPr>
        <w:t xml:space="preserve"> </w:t>
      </w:r>
      <w:r w:rsidRPr="0015068B">
        <w:rPr>
          <w:rFonts w:ascii="Arial" w:hAnsi="Arial" w:cs="Arial"/>
          <w:color w:val="010000"/>
          <w:sz w:val="20"/>
        </w:rPr>
        <w:t xml:space="preserve">In addition, the Company has been making </w:t>
      </w:r>
      <w:r w:rsidR="00E0119E" w:rsidRPr="0015068B">
        <w:rPr>
          <w:rFonts w:ascii="Arial" w:hAnsi="Arial" w:cs="Arial"/>
          <w:color w:val="010000"/>
          <w:sz w:val="20"/>
        </w:rPr>
        <w:t xml:space="preserve">a </w:t>
      </w:r>
      <w:r w:rsidRPr="0015068B">
        <w:rPr>
          <w:rFonts w:ascii="Arial" w:hAnsi="Arial" w:cs="Arial"/>
          <w:color w:val="010000"/>
          <w:sz w:val="20"/>
        </w:rPr>
        <w:t xml:space="preserve">recovery of capital from investors to balance with payables, with gradual stabilization and promising prospects in its production and business activities. </w:t>
      </w:r>
    </w:p>
    <w:sectPr w:rsidR="00F3205E" w:rsidRPr="0015068B" w:rsidSect="00D3646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5E"/>
    <w:rsid w:val="0015068B"/>
    <w:rsid w:val="00266D8C"/>
    <w:rsid w:val="002D5D4D"/>
    <w:rsid w:val="0037766B"/>
    <w:rsid w:val="00396FEC"/>
    <w:rsid w:val="005940BA"/>
    <w:rsid w:val="00882D76"/>
    <w:rsid w:val="00D3646B"/>
    <w:rsid w:val="00D52F7F"/>
    <w:rsid w:val="00DC27DA"/>
    <w:rsid w:val="00E0119E"/>
    <w:rsid w:val="00F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DFCFB"/>
  <w15:docId w15:val="{1B20CECB-EB45-4F10-B9EA-298518EB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66" w:lineRule="auto"/>
      <w:ind w:left="160"/>
    </w:pPr>
    <w:rPr>
      <w:rFonts w:ascii="Arial" w:eastAsia="Arial" w:hAnsi="Arial" w:cs="Arial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line="31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5EI4i5oqY3KpXCjGgJ+W4jWF0w==">CgMxLjAyCGguZ2pkZ3hzOAByITFRUW1yX21TQ0lUbHhVRk52OEpaOXJwZ0VOVEhjWkhucA==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2024-06-13T03:20:00Z</dcterms:created>
  <dcterms:modified xsi:type="dcterms:W3CDTF">2024-06-13T03:20:00Z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a3dc0e2b40444f32489f360f2a1ab1c68fab33f30a7659eb2c4a57c35f3ef778</vt:lpwstr>
  </property>
</Properties>
</file>