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09CD" w:rsidRPr="0051034E" w:rsidRDefault="00F0094A" w:rsidP="00692A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1034E">
        <w:rPr>
          <w:rFonts w:ascii="Arial" w:hAnsi="Arial" w:cs="Arial"/>
          <w:b/>
          <w:color w:val="010000"/>
          <w:sz w:val="20"/>
        </w:rPr>
        <w:t>DIH: Notice on the share issuance to pay dividends</w:t>
      </w:r>
    </w:p>
    <w:p w14:paraId="00000002" w14:textId="77777777" w:rsidR="00CA09CD" w:rsidRPr="0051034E" w:rsidRDefault="00F0094A" w:rsidP="00692AE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On June 12, 2024, Development Investment Construction Hoi An JSC announced Notice No. 39/TB-DICHA on the share issuance to pay dividends as follows:</w:t>
      </w:r>
    </w:p>
    <w:p w14:paraId="00000003" w14:textId="77777777" w:rsidR="00CA09CD" w:rsidRPr="0051034E" w:rsidRDefault="00F0094A" w:rsidP="00692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6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Share name: Shares of Develo</w:t>
      </w:r>
      <w:bookmarkStart w:id="0" w:name="_GoBack"/>
      <w:bookmarkEnd w:id="0"/>
      <w:r w:rsidRPr="0051034E">
        <w:rPr>
          <w:rFonts w:ascii="Arial" w:hAnsi="Arial" w:cs="Arial"/>
          <w:color w:val="010000"/>
          <w:sz w:val="20"/>
        </w:rPr>
        <w:t>pment Investment Construction Hoi An JSC.</w:t>
      </w:r>
    </w:p>
    <w:p w14:paraId="00000004" w14:textId="77777777" w:rsidR="00CA09CD" w:rsidRPr="0051034E" w:rsidRDefault="00F0094A" w:rsidP="00692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Share type: Common shares</w:t>
      </w:r>
    </w:p>
    <w:p w14:paraId="00000005" w14:textId="77777777" w:rsidR="00CA09CD" w:rsidRPr="0051034E" w:rsidRDefault="00F0094A" w:rsidP="00692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Total number of issued shares: 5,994,962 shares</w:t>
      </w:r>
    </w:p>
    <w:p w14:paraId="00000006" w14:textId="77777777" w:rsidR="00CA09CD" w:rsidRPr="0051034E" w:rsidRDefault="00F0094A" w:rsidP="00692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Number of outstanding shares: 5,994,962 shares</w:t>
      </w:r>
    </w:p>
    <w:p w14:paraId="00000007" w14:textId="77777777" w:rsidR="00CA09CD" w:rsidRPr="0051034E" w:rsidRDefault="00F0094A" w:rsidP="00692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Number of treasury shares: 0 shares</w:t>
      </w:r>
    </w:p>
    <w:p w14:paraId="00000008" w14:textId="77777777" w:rsidR="00CA09CD" w:rsidRPr="0051034E" w:rsidRDefault="00F0094A" w:rsidP="00692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Number of shares expected to be issued: 899,244 shares</w:t>
      </w:r>
    </w:p>
    <w:p w14:paraId="00000009" w14:textId="77777777" w:rsidR="00CA09CD" w:rsidRPr="0051034E" w:rsidRDefault="00F0094A" w:rsidP="00692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Total issuance value at par value: VND 8,992,440,000</w:t>
      </w:r>
    </w:p>
    <w:p w14:paraId="0000000A" w14:textId="3E9F814B" w:rsidR="00CA09CD" w:rsidRPr="0051034E" w:rsidRDefault="00F0094A" w:rsidP="00692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6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Rights exercise rate</w:t>
      </w:r>
      <w:r w:rsidR="0051034E" w:rsidRPr="0051034E">
        <w:rPr>
          <w:rFonts w:ascii="Arial" w:hAnsi="Arial" w:cs="Arial"/>
          <w:color w:val="010000"/>
          <w:sz w:val="20"/>
        </w:rPr>
        <w:t>:</w:t>
      </w:r>
      <w:r w:rsidRPr="0051034E">
        <w:rPr>
          <w:rFonts w:ascii="Arial" w:hAnsi="Arial" w:cs="Arial"/>
          <w:color w:val="010000"/>
          <w:sz w:val="20"/>
        </w:rPr>
        <w:t xml:space="preserve"> 100:15 </w:t>
      </w:r>
    </w:p>
    <w:p w14:paraId="0000000B" w14:textId="29A5AB5C" w:rsidR="00CA09CD" w:rsidRPr="0051034E" w:rsidRDefault="00F0094A" w:rsidP="00692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6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 xml:space="preserve">Capital source for the issuance: From undistributed profit after tax in 2023, ensuring compliance with the provisions of </w:t>
      </w:r>
      <w:r w:rsidR="002C2298" w:rsidRPr="0051034E">
        <w:rPr>
          <w:rFonts w:ascii="Arial" w:hAnsi="Arial" w:cs="Arial"/>
          <w:color w:val="010000"/>
          <w:sz w:val="20"/>
        </w:rPr>
        <w:t xml:space="preserve">the </w:t>
      </w:r>
      <w:r w:rsidRPr="0051034E">
        <w:rPr>
          <w:rFonts w:ascii="Arial" w:hAnsi="Arial" w:cs="Arial"/>
          <w:color w:val="010000"/>
          <w:sz w:val="20"/>
        </w:rPr>
        <w:t>law.</w:t>
      </w:r>
    </w:p>
    <w:p w14:paraId="0000000C" w14:textId="77777777" w:rsidR="00CA09CD" w:rsidRPr="0051034E" w:rsidRDefault="00F0094A" w:rsidP="00692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7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Plan on handling fractional shares:</w:t>
      </w:r>
    </w:p>
    <w:p w14:paraId="0000000D" w14:textId="7CD89212" w:rsidR="00CA09CD" w:rsidRPr="0051034E" w:rsidRDefault="002C2298" w:rsidP="00692A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The number</w:t>
      </w:r>
      <w:r w:rsidR="00F0094A" w:rsidRPr="0051034E">
        <w:rPr>
          <w:rFonts w:ascii="Arial" w:hAnsi="Arial" w:cs="Arial"/>
          <w:color w:val="010000"/>
          <w:sz w:val="20"/>
        </w:rPr>
        <w:t xml:space="preserve"> of shares issued to pay dividends in 2023 to existing shareholders will be rounded to the nearest unit. The incurred fractional shares (if any) of each shareholder are canceled.</w:t>
      </w:r>
    </w:p>
    <w:p w14:paraId="0000000E" w14:textId="1DD562E9" w:rsidR="00CA09CD" w:rsidRPr="0051034E" w:rsidRDefault="00F0094A" w:rsidP="00692A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5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 xml:space="preserve">For example: On the record date for the list, shareholder Nguyen Van A </w:t>
      </w:r>
      <w:r w:rsidR="002C2298" w:rsidRPr="0051034E">
        <w:rPr>
          <w:rFonts w:ascii="Arial" w:hAnsi="Arial" w:cs="Arial"/>
          <w:color w:val="010000"/>
          <w:sz w:val="20"/>
        </w:rPr>
        <w:t>owns</w:t>
      </w:r>
      <w:r w:rsidRPr="0051034E">
        <w:rPr>
          <w:rFonts w:ascii="Arial" w:hAnsi="Arial" w:cs="Arial"/>
          <w:color w:val="010000"/>
          <w:sz w:val="20"/>
        </w:rPr>
        <w:t xml:space="preserve"> 572 shares of Development Investment Construction Hoi An JSC</w:t>
      </w:r>
      <w:r w:rsidR="009A5C9A" w:rsidRPr="0051034E">
        <w:rPr>
          <w:rFonts w:ascii="Arial" w:hAnsi="Arial" w:cs="Arial"/>
          <w:color w:val="010000"/>
          <w:sz w:val="20"/>
        </w:rPr>
        <w:t>.</w:t>
      </w:r>
      <w:r w:rsidRPr="0051034E">
        <w:rPr>
          <w:rFonts w:ascii="Arial" w:hAnsi="Arial" w:cs="Arial"/>
          <w:color w:val="010000"/>
          <w:sz w:val="20"/>
        </w:rPr>
        <w:t xml:space="preserve"> According to the rights exercise rate: Shareholder A will receive: 572 x 15/100 = 85.8 shares. According to the rounding down principle, shareholder A will receive 85 new shares. 0.8 fractional shares will be canceled.</w:t>
      </w:r>
    </w:p>
    <w:p w14:paraId="0000000F" w14:textId="77777777" w:rsidR="00CA09CD" w:rsidRPr="0051034E" w:rsidRDefault="00F0094A" w:rsidP="00692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17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034E">
        <w:rPr>
          <w:rFonts w:ascii="Arial" w:hAnsi="Arial" w:cs="Arial"/>
          <w:color w:val="010000"/>
          <w:sz w:val="20"/>
        </w:rPr>
        <w:t>Record date to allocate rights: July 10, 2024</w:t>
      </w:r>
    </w:p>
    <w:sectPr w:rsidR="00CA09CD" w:rsidRPr="0051034E" w:rsidSect="00D56AC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7B0"/>
    <w:multiLevelType w:val="multilevel"/>
    <w:tmpl w:val="D4B48E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D5105D"/>
    <w:multiLevelType w:val="multilevel"/>
    <w:tmpl w:val="7CA07F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323232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CD"/>
    <w:rsid w:val="002C2298"/>
    <w:rsid w:val="0051034E"/>
    <w:rsid w:val="00692AEA"/>
    <w:rsid w:val="009A5C9A"/>
    <w:rsid w:val="00CA09CD"/>
    <w:rsid w:val="00D56ACB"/>
    <w:rsid w:val="00F0094A"/>
    <w:rsid w:val="00F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04D54"/>
  <w15:docId w15:val="{A46A4D62-1F83-4903-A31E-053E3B53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26E82"/>
      <w:sz w:val="15"/>
      <w:szCs w:val="15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65363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20"/>
    </w:pPr>
    <w:rPr>
      <w:rFonts w:ascii="Times New Roman" w:eastAsia="Times New Roman" w:hAnsi="Times New Roman" w:cs="Times New Roman"/>
      <w:color w:val="323232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168" w:lineRule="auto"/>
    </w:pPr>
    <w:rPr>
      <w:rFonts w:ascii="Arial" w:eastAsia="Arial" w:hAnsi="Arial" w:cs="Arial"/>
      <w:b/>
      <w:bCs/>
      <w:color w:val="E26E82"/>
      <w:sz w:val="15"/>
      <w:szCs w:val="15"/>
    </w:rPr>
  </w:style>
  <w:style w:type="paragraph" w:customStyle="1" w:styleId="Heading11">
    <w:name w:val="Heading #1"/>
    <w:basedOn w:val="Normal"/>
    <w:link w:val="Heading10"/>
    <w:pPr>
      <w:ind w:firstLine="210"/>
      <w:outlineLvl w:val="0"/>
    </w:pPr>
    <w:rPr>
      <w:rFonts w:ascii="Times New Roman" w:eastAsia="Times New Roman" w:hAnsi="Times New Roman" w:cs="Times New Roman"/>
      <w:b/>
      <w:bCs/>
      <w:color w:val="323232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color w:val="565363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773B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90t+ITkcuSruGdicApUc8xFsQ==">CgMxLjA4AHIhMTBvTko5U054cldXNUxadWtWajRjYTRuQ0IzRXN6ZVlv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2024-06-13T03:13:00Z</dcterms:created>
  <dcterms:modified xsi:type="dcterms:W3CDTF">2024-06-14T03:13:00Z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0f414f5301528963185b99fb933275c0e7a7b9e9978dd5c9468ec569599735e2</vt:lpwstr>
  </property>
</Properties>
</file>