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44935" w14:textId="77777777" w:rsidR="00483BF7" w:rsidRPr="00687E5D" w:rsidRDefault="008053FA" w:rsidP="0034643C">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687E5D">
        <w:rPr>
          <w:rFonts w:ascii="Arial" w:hAnsi="Arial" w:cs="Arial"/>
          <w:b/>
          <w:color w:val="010000"/>
          <w:sz w:val="20"/>
        </w:rPr>
        <w:t>NVB: Board Resolution</w:t>
      </w:r>
    </w:p>
    <w:p w14:paraId="67991CD7" w14:textId="77777777" w:rsidR="00483BF7" w:rsidRPr="00687E5D" w:rsidRDefault="008053FA" w:rsidP="003464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87E5D">
        <w:rPr>
          <w:rFonts w:ascii="Arial" w:hAnsi="Arial" w:cs="Arial"/>
          <w:color w:val="010000"/>
          <w:sz w:val="20"/>
        </w:rPr>
        <w:t xml:space="preserve">On June 12, 2024, National Citizen Commercial Joint Stock Bank </w:t>
      </w:r>
      <w:proofErr w:type="gramStart"/>
      <w:r w:rsidRPr="00687E5D">
        <w:rPr>
          <w:rFonts w:ascii="Arial" w:hAnsi="Arial" w:cs="Arial"/>
          <w:color w:val="010000"/>
          <w:sz w:val="20"/>
        </w:rPr>
        <w:t>announced</w:t>
      </w:r>
      <w:proofErr w:type="gramEnd"/>
      <w:r w:rsidRPr="00687E5D">
        <w:rPr>
          <w:rFonts w:ascii="Arial" w:hAnsi="Arial" w:cs="Arial"/>
          <w:color w:val="010000"/>
          <w:sz w:val="20"/>
        </w:rPr>
        <w:t xml:space="preserve"> Resolution No. 1336/2024/NQ-HDQT on the plan on managing and operating assets at Floor 34T, Building 34T </w:t>
      </w:r>
      <w:proofErr w:type="spellStart"/>
      <w:r w:rsidRPr="00687E5D">
        <w:rPr>
          <w:rFonts w:ascii="Arial" w:hAnsi="Arial" w:cs="Arial"/>
          <w:color w:val="010000"/>
          <w:sz w:val="20"/>
        </w:rPr>
        <w:t>Trung</w:t>
      </w:r>
      <w:proofErr w:type="spellEnd"/>
      <w:r w:rsidRPr="00687E5D">
        <w:rPr>
          <w:rFonts w:ascii="Arial" w:hAnsi="Arial" w:cs="Arial"/>
          <w:color w:val="010000"/>
          <w:sz w:val="20"/>
        </w:rPr>
        <w:t xml:space="preserve"> </w:t>
      </w:r>
      <w:proofErr w:type="spellStart"/>
      <w:r w:rsidRPr="00687E5D">
        <w:rPr>
          <w:rFonts w:ascii="Arial" w:hAnsi="Arial" w:cs="Arial"/>
          <w:color w:val="010000"/>
          <w:sz w:val="20"/>
        </w:rPr>
        <w:t>Hoa</w:t>
      </w:r>
      <w:proofErr w:type="spellEnd"/>
      <w:r w:rsidRPr="00687E5D">
        <w:rPr>
          <w:rFonts w:ascii="Arial" w:hAnsi="Arial" w:cs="Arial"/>
          <w:color w:val="010000"/>
          <w:sz w:val="20"/>
        </w:rPr>
        <w:t xml:space="preserve"> - </w:t>
      </w:r>
      <w:proofErr w:type="spellStart"/>
      <w:r w:rsidRPr="00687E5D">
        <w:rPr>
          <w:rFonts w:ascii="Arial" w:hAnsi="Arial" w:cs="Arial"/>
          <w:color w:val="010000"/>
          <w:sz w:val="20"/>
        </w:rPr>
        <w:t>Nhan</w:t>
      </w:r>
      <w:proofErr w:type="spellEnd"/>
      <w:r w:rsidRPr="00687E5D">
        <w:rPr>
          <w:rFonts w:ascii="Arial" w:hAnsi="Arial" w:cs="Arial"/>
          <w:color w:val="010000"/>
          <w:sz w:val="20"/>
        </w:rPr>
        <w:t xml:space="preserve"> </w:t>
      </w:r>
      <w:proofErr w:type="spellStart"/>
      <w:r w:rsidRPr="00687E5D">
        <w:rPr>
          <w:rFonts w:ascii="Arial" w:hAnsi="Arial" w:cs="Arial"/>
          <w:color w:val="010000"/>
          <w:sz w:val="20"/>
        </w:rPr>
        <w:t>Chinh</w:t>
      </w:r>
      <w:proofErr w:type="spellEnd"/>
      <w:r w:rsidRPr="00687E5D">
        <w:rPr>
          <w:rFonts w:ascii="Arial" w:hAnsi="Arial" w:cs="Arial"/>
          <w:color w:val="010000"/>
          <w:sz w:val="20"/>
        </w:rPr>
        <w:t xml:space="preserve"> Urban Area, </w:t>
      </w:r>
      <w:proofErr w:type="spellStart"/>
      <w:r w:rsidRPr="00687E5D">
        <w:rPr>
          <w:rFonts w:ascii="Arial" w:hAnsi="Arial" w:cs="Arial"/>
          <w:color w:val="010000"/>
          <w:sz w:val="20"/>
        </w:rPr>
        <w:t>Cau</w:t>
      </w:r>
      <w:proofErr w:type="spellEnd"/>
      <w:r w:rsidRPr="00687E5D">
        <w:rPr>
          <w:rFonts w:ascii="Arial" w:hAnsi="Arial" w:cs="Arial"/>
          <w:color w:val="010000"/>
          <w:sz w:val="20"/>
        </w:rPr>
        <w:t xml:space="preserve"> </w:t>
      </w:r>
      <w:proofErr w:type="spellStart"/>
      <w:r w:rsidRPr="00687E5D">
        <w:rPr>
          <w:rFonts w:ascii="Arial" w:hAnsi="Arial" w:cs="Arial"/>
          <w:color w:val="010000"/>
          <w:sz w:val="20"/>
        </w:rPr>
        <w:t>G</w:t>
      </w:r>
      <w:bookmarkStart w:id="0" w:name="_GoBack"/>
      <w:bookmarkEnd w:id="0"/>
      <w:r w:rsidRPr="00687E5D">
        <w:rPr>
          <w:rFonts w:ascii="Arial" w:hAnsi="Arial" w:cs="Arial"/>
          <w:color w:val="010000"/>
          <w:sz w:val="20"/>
        </w:rPr>
        <w:t>iay</w:t>
      </w:r>
      <w:proofErr w:type="spellEnd"/>
      <w:r w:rsidRPr="00687E5D">
        <w:rPr>
          <w:rFonts w:ascii="Arial" w:hAnsi="Arial" w:cs="Arial"/>
          <w:color w:val="010000"/>
          <w:sz w:val="20"/>
        </w:rPr>
        <w:t xml:space="preserve"> District</w:t>
      </w:r>
      <w:r w:rsidR="00FD7E93" w:rsidRPr="00687E5D">
        <w:rPr>
          <w:rFonts w:ascii="Arial" w:hAnsi="Arial" w:cs="Arial"/>
          <w:color w:val="010000"/>
          <w:sz w:val="20"/>
        </w:rPr>
        <w:t>,</w:t>
      </w:r>
      <w:r w:rsidRPr="00687E5D">
        <w:rPr>
          <w:rFonts w:ascii="Arial" w:hAnsi="Arial" w:cs="Arial"/>
          <w:color w:val="010000"/>
          <w:sz w:val="20"/>
        </w:rPr>
        <w:t xml:space="preserve"> Hanoi City as follows: </w:t>
      </w:r>
    </w:p>
    <w:p w14:paraId="77F452D9" w14:textId="77777777" w:rsidR="00483BF7" w:rsidRPr="00687E5D" w:rsidRDefault="008053FA" w:rsidP="003464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87E5D">
        <w:rPr>
          <w:rFonts w:ascii="Arial" w:hAnsi="Arial" w:cs="Arial"/>
          <w:color w:val="010000"/>
          <w:sz w:val="20"/>
        </w:rPr>
        <w:t xml:space="preserve">Article 1. Approve the plan on managing and operating assets at Floor 34T, </w:t>
      </w:r>
      <w:proofErr w:type="gramStart"/>
      <w:r w:rsidRPr="00687E5D">
        <w:rPr>
          <w:rFonts w:ascii="Arial" w:hAnsi="Arial" w:cs="Arial"/>
          <w:color w:val="010000"/>
          <w:sz w:val="20"/>
        </w:rPr>
        <w:t>Building</w:t>
      </w:r>
      <w:proofErr w:type="gramEnd"/>
      <w:r w:rsidRPr="00687E5D">
        <w:rPr>
          <w:rFonts w:ascii="Arial" w:hAnsi="Arial" w:cs="Arial"/>
          <w:color w:val="010000"/>
          <w:sz w:val="20"/>
        </w:rPr>
        <w:t xml:space="preserve"> 34T </w:t>
      </w:r>
      <w:proofErr w:type="spellStart"/>
      <w:r w:rsidRPr="00687E5D">
        <w:rPr>
          <w:rFonts w:ascii="Arial" w:hAnsi="Arial" w:cs="Arial"/>
          <w:color w:val="010000"/>
          <w:sz w:val="20"/>
        </w:rPr>
        <w:t>Trung</w:t>
      </w:r>
      <w:proofErr w:type="spellEnd"/>
      <w:r w:rsidRPr="00687E5D">
        <w:rPr>
          <w:rFonts w:ascii="Arial" w:hAnsi="Arial" w:cs="Arial"/>
          <w:color w:val="010000"/>
          <w:sz w:val="20"/>
        </w:rPr>
        <w:t xml:space="preserve"> </w:t>
      </w:r>
      <w:proofErr w:type="spellStart"/>
      <w:r w:rsidRPr="00687E5D">
        <w:rPr>
          <w:rFonts w:ascii="Arial" w:hAnsi="Arial" w:cs="Arial"/>
          <w:color w:val="010000"/>
          <w:sz w:val="20"/>
        </w:rPr>
        <w:t>Hoa</w:t>
      </w:r>
      <w:proofErr w:type="spellEnd"/>
      <w:r w:rsidRPr="00687E5D">
        <w:rPr>
          <w:rFonts w:ascii="Arial" w:hAnsi="Arial" w:cs="Arial"/>
          <w:color w:val="010000"/>
          <w:sz w:val="20"/>
        </w:rPr>
        <w:t xml:space="preserve"> - </w:t>
      </w:r>
      <w:proofErr w:type="spellStart"/>
      <w:r w:rsidRPr="00687E5D">
        <w:rPr>
          <w:rFonts w:ascii="Arial" w:hAnsi="Arial" w:cs="Arial"/>
          <w:color w:val="010000"/>
          <w:sz w:val="20"/>
        </w:rPr>
        <w:t>Nhan</w:t>
      </w:r>
      <w:proofErr w:type="spellEnd"/>
      <w:r w:rsidRPr="00687E5D">
        <w:rPr>
          <w:rFonts w:ascii="Arial" w:hAnsi="Arial" w:cs="Arial"/>
          <w:color w:val="010000"/>
          <w:sz w:val="20"/>
        </w:rPr>
        <w:t xml:space="preserve"> </w:t>
      </w:r>
      <w:proofErr w:type="spellStart"/>
      <w:r w:rsidRPr="00687E5D">
        <w:rPr>
          <w:rFonts w:ascii="Arial" w:hAnsi="Arial" w:cs="Arial"/>
          <w:color w:val="010000"/>
          <w:sz w:val="20"/>
        </w:rPr>
        <w:t>Chinh</w:t>
      </w:r>
      <w:proofErr w:type="spellEnd"/>
      <w:r w:rsidRPr="00687E5D">
        <w:rPr>
          <w:rFonts w:ascii="Arial" w:hAnsi="Arial" w:cs="Arial"/>
          <w:color w:val="010000"/>
          <w:sz w:val="20"/>
        </w:rPr>
        <w:t xml:space="preserve"> Urban Area, </w:t>
      </w:r>
      <w:proofErr w:type="spellStart"/>
      <w:r w:rsidRPr="00687E5D">
        <w:rPr>
          <w:rFonts w:ascii="Arial" w:hAnsi="Arial" w:cs="Arial"/>
          <w:color w:val="010000"/>
          <w:sz w:val="20"/>
        </w:rPr>
        <w:t>Cau</w:t>
      </w:r>
      <w:proofErr w:type="spellEnd"/>
      <w:r w:rsidRPr="00687E5D">
        <w:rPr>
          <w:rFonts w:ascii="Arial" w:hAnsi="Arial" w:cs="Arial"/>
          <w:color w:val="010000"/>
          <w:sz w:val="20"/>
        </w:rPr>
        <w:t xml:space="preserve"> </w:t>
      </w:r>
      <w:proofErr w:type="spellStart"/>
      <w:r w:rsidRPr="00687E5D">
        <w:rPr>
          <w:rFonts w:ascii="Arial" w:hAnsi="Arial" w:cs="Arial"/>
          <w:color w:val="010000"/>
          <w:sz w:val="20"/>
        </w:rPr>
        <w:t>Giay</w:t>
      </w:r>
      <w:proofErr w:type="spellEnd"/>
      <w:r w:rsidRPr="00687E5D">
        <w:rPr>
          <w:rFonts w:ascii="Arial" w:hAnsi="Arial" w:cs="Arial"/>
          <w:color w:val="010000"/>
          <w:sz w:val="20"/>
        </w:rPr>
        <w:t xml:space="preserve"> District</w:t>
      </w:r>
      <w:r w:rsidR="00FD7E93" w:rsidRPr="00687E5D">
        <w:rPr>
          <w:rFonts w:ascii="Arial" w:hAnsi="Arial" w:cs="Arial"/>
          <w:color w:val="010000"/>
          <w:sz w:val="20"/>
        </w:rPr>
        <w:t>,</w:t>
      </w:r>
      <w:r w:rsidRPr="00687E5D">
        <w:rPr>
          <w:rFonts w:ascii="Arial" w:hAnsi="Arial" w:cs="Arial"/>
          <w:color w:val="010000"/>
          <w:sz w:val="20"/>
        </w:rPr>
        <w:t xml:space="preserve"> Hanoi City with details as follows: </w:t>
      </w:r>
    </w:p>
    <w:p w14:paraId="731B3A80" w14:textId="15C9477A" w:rsidR="00483BF7" w:rsidRPr="00687E5D" w:rsidRDefault="008053FA" w:rsidP="0034643C">
      <w:pPr>
        <w:numPr>
          <w:ilvl w:val="0"/>
          <w:numId w:val="3"/>
        </w:numPr>
        <w:pBdr>
          <w:top w:val="nil"/>
          <w:left w:val="nil"/>
          <w:bottom w:val="nil"/>
          <w:right w:val="nil"/>
          <w:between w:val="nil"/>
        </w:pBdr>
        <w:tabs>
          <w:tab w:val="left" w:pos="432"/>
          <w:tab w:val="left" w:pos="979"/>
        </w:tabs>
        <w:spacing w:after="120" w:line="360" w:lineRule="auto"/>
        <w:jc w:val="both"/>
        <w:rPr>
          <w:rFonts w:ascii="Arial" w:eastAsia="Arial" w:hAnsi="Arial" w:cs="Arial"/>
          <w:color w:val="010000"/>
          <w:sz w:val="20"/>
          <w:szCs w:val="20"/>
        </w:rPr>
      </w:pPr>
      <w:r w:rsidRPr="00687E5D">
        <w:rPr>
          <w:rFonts w:ascii="Arial" w:hAnsi="Arial" w:cs="Arial"/>
          <w:color w:val="010000"/>
          <w:sz w:val="20"/>
        </w:rPr>
        <w:t xml:space="preserve">Asset description: Land use rights and ownership of </w:t>
      </w:r>
      <w:r w:rsidR="00687E5D" w:rsidRPr="00687E5D">
        <w:rPr>
          <w:rFonts w:ascii="Arial" w:hAnsi="Arial" w:cs="Arial"/>
          <w:color w:val="010000"/>
          <w:sz w:val="20"/>
        </w:rPr>
        <w:t xml:space="preserve">the </w:t>
      </w:r>
      <w:r w:rsidRPr="00687E5D">
        <w:rPr>
          <w:rFonts w:ascii="Arial" w:hAnsi="Arial" w:cs="Arial"/>
          <w:color w:val="010000"/>
          <w:sz w:val="20"/>
        </w:rPr>
        <w:t xml:space="preserve">house and other land-attached assets at Apartment Building 34T, </w:t>
      </w:r>
      <w:proofErr w:type="spellStart"/>
      <w:r w:rsidRPr="00687E5D">
        <w:rPr>
          <w:rFonts w:ascii="Arial" w:hAnsi="Arial" w:cs="Arial"/>
          <w:color w:val="010000"/>
          <w:sz w:val="20"/>
        </w:rPr>
        <w:t>Trung</w:t>
      </w:r>
      <w:proofErr w:type="spellEnd"/>
      <w:r w:rsidRPr="00687E5D">
        <w:rPr>
          <w:rFonts w:ascii="Arial" w:hAnsi="Arial" w:cs="Arial"/>
          <w:color w:val="010000"/>
          <w:sz w:val="20"/>
        </w:rPr>
        <w:t xml:space="preserve"> </w:t>
      </w:r>
      <w:proofErr w:type="spellStart"/>
      <w:r w:rsidRPr="00687E5D">
        <w:rPr>
          <w:rFonts w:ascii="Arial" w:hAnsi="Arial" w:cs="Arial"/>
          <w:color w:val="010000"/>
          <w:sz w:val="20"/>
        </w:rPr>
        <w:t>Hoa</w:t>
      </w:r>
      <w:proofErr w:type="spellEnd"/>
      <w:r w:rsidRPr="00687E5D">
        <w:rPr>
          <w:rFonts w:ascii="Arial" w:hAnsi="Arial" w:cs="Arial"/>
          <w:color w:val="010000"/>
          <w:sz w:val="20"/>
        </w:rPr>
        <w:t xml:space="preserve"> - </w:t>
      </w:r>
      <w:proofErr w:type="spellStart"/>
      <w:r w:rsidRPr="00687E5D">
        <w:rPr>
          <w:rFonts w:ascii="Arial" w:hAnsi="Arial" w:cs="Arial"/>
          <w:color w:val="010000"/>
          <w:sz w:val="20"/>
        </w:rPr>
        <w:t>Nhan</w:t>
      </w:r>
      <w:proofErr w:type="spellEnd"/>
      <w:r w:rsidRPr="00687E5D">
        <w:rPr>
          <w:rFonts w:ascii="Arial" w:hAnsi="Arial" w:cs="Arial"/>
          <w:color w:val="010000"/>
          <w:sz w:val="20"/>
        </w:rPr>
        <w:t xml:space="preserve"> </w:t>
      </w:r>
      <w:proofErr w:type="spellStart"/>
      <w:r w:rsidRPr="00687E5D">
        <w:rPr>
          <w:rFonts w:ascii="Arial" w:hAnsi="Arial" w:cs="Arial"/>
          <w:color w:val="010000"/>
          <w:sz w:val="20"/>
        </w:rPr>
        <w:t>Chinh</w:t>
      </w:r>
      <w:proofErr w:type="spellEnd"/>
      <w:r w:rsidRPr="00687E5D">
        <w:rPr>
          <w:rFonts w:ascii="Arial" w:hAnsi="Arial" w:cs="Arial"/>
          <w:color w:val="010000"/>
          <w:sz w:val="20"/>
        </w:rPr>
        <w:t xml:space="preserve"> New Urban Area, </w:t>
      </w:r>
      <w:proofErr w:type="spellStart"/>
      <w:r w:rsidRPr="00687E5D">
        <w:rPr>
          <w:rFonts w:ascii="Arial" w:hAnsi="Arial" w:cs="Arial"/>
          <w:color w:val="010000"/>
          <w:sz w:val="20"/>
        </w:rPr>
        <w:t>Trung</w:t>
      </w:r>
      <w:proofErr w:type="spellEnd"/>
      <w:r w:rsidRPr="00687E5D">
        <w:rPr>
          <w:rFonts w:ascii="Arial" w:hAnsi="Arial" w:cs="Arial"/>
          <w:color w:val="010000"/>
          <w:sz w:val="20"/>
        </w:rPr>
        <w:t xml:space="preserve"> </w:t>
      </w:r>
      <w:proofErr w:type="spellStart"/>
      <w:r w:rsidRPr="00687E5D">
        <w:rPr>
          <w:rFonts w:ascii="Arial" w:hAnsi="Arial" w:cs="Arial"/>
          <w:color w:val="010000"/>
          <w:sz w:val="20"/>
        </w:rPr>
        <w:t>Hoa</w:t>
      </w:r>
      <w:proofErr w:type="spellEnd"/>
      <w:r w:rsidRPr="00687E5D">
        <w:rPr>
          <w:rFonts w:ascii="Arial" w:hAnsi="Arial" w:cs="Arial"/>
          <w:color w:val="010000"/>
          <w:sz w:val="20"/>
        </w:rPr>
        <w:t xml:space="preserve"> Ward, </w:t>
      </w:r>
      <w:proofErr w:type="spellStart"/>
      <w:r w:rsidRPr="00687E5D">
        <w:rPr>
          <w:rFonts w:ascii="Arial" w:hAnsi="Arial" w:cs="Arial"/>
          <w:color w:val="010000"/>
          <w:sz w:val="20"/>
        </w:rPr>
        <w:t>Cau</w:t>
      </w:r>
      <w:proofErr w:type="spellEnd"/>
      <w:r w:rsidRPr="00687E5D">
        <w:rPr>
          <w:rFonts w:ascii="Arial" w:hAnsi="Arial" w:cs="Arial"/>
          <w:color w:val="010000"/>
          <w:sz w:val="20"/>
        </w:rPr>
        <w:t xml:space="preserve"> </w:t>
      </w:r>
      <w:proofErr w:type="spellStart"/>
      <w:r w:rsidRPr="00687E5D">
        <w:rPr>
          <w:rFonts w:ascii="Arial" w:hAnsi="Arial" w:cs="Arial"/>
          <w:color w:val="010000"/>
          <w:sz w:val="20"/>
        </w:rPr>
        <w:t>Giay</w:t>
      </w:r>
      <w:proofErr w:type="spellEnd"/>
      <w:r w:rsidRPr="00687E5D">
        <w:rPr>
          <w:rFonts w:ascii="Arial" w:hAnsi="Arial" w:cs="Arial"/>
          <w:color w:val="010000"/>
          <w:sz w:val="20"/>
        </w:rPr>
        <w:t xml:space="preserve"> District, Hanoi City according to the Certificate of </w:t>
      </w:r>
      <w:r w:rsidR="00C27FB5" w:rsidRPr="00687E5D">
        <w:rPr>
          <w:rFonts w:ascii="Arial" w:hAnsi="Arial" w:cs="Arial"/>
          <w:color w:val="010000"/>
          <w:sz w:val="20"/>
        </w:rPr>
        <w:t>Land</w:t>
      </w:r>
      <w:r w:rsidRPr="00687E5D">
        <w:rPr>
          <w:rFonts w:ascii="Arial" w:hAnsi="Arial" w:cs="Arial"/>
          <w:color w:val="010000"/>
          <w:sz w:val="20"/>
        </w:rPr>
        <w:t xml:space="preserve"> use rights and ownership of houses and other land-attached assets No. CY 598320, Certificate's number recorded in the Certificate book No. CT-DA 02255 issued by the Department of Natural Resources and Environment of Hanoi City on November 17, 2020</w:t>
      </w:r>
      <w:r w:rsidR="00FD7E93" w:rsidRPr="00687E5D">
        <w:rPr>
          <w:rFonts w:ascii="Arial" w:hAnsi="Arial" w:cs="Arial"/>
          <w:color w:val="010000"/>
          <w:sz w:val="20"/>
        </w:rPr>
        <w:t xml:space="preserve"> </w:t>
      </w:r>
      <w:r w:rsidR="00687E5D" w:rsidRPr="00687E5D">
        <w:rPr>
          <w:rFonts w:ascii="Arial" w:hAnsi="Arial" w:cs="Arial"/>
          <w:color w:val="010000"/>
          <w:sz w:val="20"/>
        </w:rPr>
        <w:t>(Hereinafter referred to as “assets”)</w:t>
      </w:r>
    </w:p>
    <w:p w14:paraId="76A04173" w14:textId="77777777" w:rsidR="00483BF7" w:rsidRPr="00687E5D" w:rsidRDefault="008053FA" w:rsidP="0034643C">
      <w:pPr>
        <w:keepNext/>
        <w:numPr>
          <w:ilvl w:val="0"/>
          <w:numId w:val="3"/>
        </w:numPr>
        <w:pBdr>
          <w:top w:val="nil"/>
          <w:left w:val="nil"/>
          <w:bottom w:val="nil"/>
          <w:right w:val="nil"/>
          <w:between w:val="nil"/>
        </w:pBdr>
        <w:tabs>
          <w:tab w:val="left" w:pos="432"/>
          <w:tab w:val="left" w:pos="979"/>
        </w:tabs>
        <w:spacing w:after="120" w:line="360" w:lineRule="auto"/>
        <w:jc w:val="both"/>
        <w:rPr>
          <w:rFonts w:ascii="Arial" w:eastAsia="Arial" w:hAnsi="Arial" w:cs="Arial"/>
          <w:color w:val="010000"/>
          <w:sz w:val="20"/>
          <w:szCs w:val="20"/>
        </w:rPr>
      </w:pPr>
      <w:r w:rsidRPr="00687E5D">
        <w:rPr>
          <w:rFonts w:ascii="Arial" w:hAnsi="Arial" w:cs="Arial"/>
          <w:color w:val="010000"/>
          <w:sz w:val="20"/>
        </w:rPr>
        <w:t>Plan on managing and operating assets</w:t>
      </w:r>
    </w:p>
    <w:p w14:paraId="7CFBC9D7" w14:textId="77777777" w:rsidR="00483BF7" w:rsidRPr="00687E5D" w:rsidRDefault="008053FA" w:rsidP="0034643C">
      <w:pPr>
        <w:numPr>
          <w:ilvl w:val="0"/>
          <w:numId w:val="1"/>
        </w:numPr>
        <w:pBdr>
          <w:top w:val="nil"/>
          <w:left w:val="nil"/>
          <w:bottom w:val="nil"/>
          <w:right w:val="nil"/>
          <w:between w:val="nil"/>
        </w:pBdr>
        <w:tabs>
          <w:tab w:val="left" w:pos="432"/>
          <w:tab w:val="left" w:pos="979"/>
        </w:tabs>
        <w:spacing w:after="120" w:line="360" w:lineRule="auto"/>
        <w:jc w:val="both"/>
        <w:rPr>
          <w:rFonts w:ascii="Arial" w:eastAsia="Arial" w:hAnsi="Arial" w:cs="Arial"/>
          <w:color w:val="010000"/>
          <w:sz w:val="20"/>
          <w:szCs w:val="20"/>
        </w:rPr>
      </w:pPr>
      <w:r w:rsidRPr="00687E5D">
        <w:rPr>
          <w:rFonts w:ascii="Arial" w:hAnsi="Arial" w:cs="Arial"/>
          <w:color w:val="010000"/>
          <w:sz w:val="20"/>
        </w:rPr>
        <w:t xml:space="preserve">Assign </w:t>
      </w:r>
      <w:r w:rsidR="00976EE1" w:rsidRPr="00687E5D">
        <w:rPr>
          <w:rFonts w:ascii="Arial" w:hAnsi="Arial" w:cs="Arial"/>
          <w:color w:val="010000"/>
          <w:sz w:val="20"/>
        </w:rPr>
        <w:t>National Citizen Bank Asset Management Company Limited</w:t>
      </w:r>
      <w:r w:rsidRPr="00687E5D">
        <w:rPr>
          <w:rFonts w:ascii="Arial" w:hAnsi="Arial" w:cs="Arial"/>
          <w:color w:val="010000"/>
          <w:sz w:val="20"/>
        </w:rPr>
        <w:t xml:space="preserve"> to manage and operate the assets until the asset is sold/transferred.</w:t>
      </w:r>
    </w:p>
    <w:p w14:paraId="627B410D" w14:textId="77777777" w:rsidR="00483BF7" w:rsidRPr="00687E5D" w:rsidRDefault="008053FA" w:rsidP="0034643C">
      <w:pPr>
        <w:numPr>
          <w:ilvl w:val="0"/>
          <w:numId w:val="1"/>
        </w:numPr>
        <w:pBdr>
          <w:top w:val="nil"/>
          <w:left w:val="nil"/>
          <w:bottom w:val="nil"/>
          <w:right w:val="nil"/>
          <w:between w:val="nil"/>
        </w:pBdr>
        <w:tabs>
          <w:tab w:val="left" w:pos="432"/>
          <w:tab w:val="left" w:pos="979"/>
        </w:tabs>
        <w:spacing w:after="120" w:line="360" w:lineRule="auto"/>
        <w:jc w:val="both"/>
        <w:rPr>
          <w:rFonts w:ascii="Arial" w:eastAsia="Arial" w:hAnsi="Arial" w:cs="Arial"/>
          <w:color w:val="010000"/>
          <w:sz w:val="20"/>
          <w:szCs w:val="20"/>
        </w:rPr>
      </w:pPr>
      <w:r w:rsidRPr="00687E5D">
        <w:rPr>
          <w:rFonts w:ascii="Arial" w:hAnsi="Arial" w:cs="Arial"/>
          <w:color w:val="010000"/>
          <w:sz w:val="20"/>
        </w:rPr>
        <w:t>Accept/approve the policy of paying elevator repair expenses incurred as follows: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3"/>
        <w:gridCol w:w="3600"/>
        <w:gridCol w:w="2195"/>
        <w:gridCol w:w="2399"/>
      </w:tblGrid>
      <w:tr w:rsidR="00483BF7" w:rsidRPr="00687E5D" w14:paraId="6FC883B3" w14:textId="77777777" w:rsidTr="00C01B68">
        <w:tc>
          <w:tcPr>
            <w:tcW w:w="456" w:type="pct"/>
            <w:shd w:val="clear" w:color="auto" w:fill="auto"/>
            <w:tcMar>
              <w:top w:w="0" w:type="dxa"/>
              <w:bottom w:w="0" w:type="dxa"/>
            </w:tcMar>
            <w:vAlign w:val="center"/>
          </w:tcPr>
          <w:p w14:paraId="2D7B8AFB" w14:textId="77777777" w:rsidR="00483BF7" w:rsidRPr="00687E5D" w:rsidRDefault="008053FA" w:rsidP="003464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87E5D">
              <w:rPr>
                <w:rFonts w:ascii="Arial" w:hAnsi="Arial" w:cs="Arial"/>
                <w:color w:val="010000"/>
                <w:sz w:val="20"/>
              </w:rPr>
              <w:t>No.</w:t>
            </w:r>
          </w:p>
        </w:tc>
        <w:tc>
          <w:tcPr>
            <w:tcW w:w="1996" w:type="pct"/>
            <w:shd w:val="clear" w:color="auto" w:fill="auto"/>
            <w:tcMar>
              <w:top w:w="0" w:type="dxa"/>
              <w:bottom w:w="0" w:type="dxa"/>
            </w:tcMar>
            <w:vAlign w:val="center"/>
          </w:tcPr>
          <w:p w14:paraId="778F914D" w14:textId="77777777" w:rsidR="00483BF7" w:rsidRPr="00687E5D" w:rsidRDefault="008053FA" w:rsidP="003464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87E5D">
              <w:rPr>
                <w:rFonts w:ascii="Arial" w:hAnsi="Arial" w:cs="Arial"/>
                <w:color w:val="010000"/>
                <w:sz w:val="20"/>
              </w:rPr>
              <w:t>Expenses category</w:t>
            </w:r>
          </w:p>
        </w:tc>
        <w:tc>
          <w:tcPr>
            <w:tcW w:w="1217" w:type="pct"/>
            <w:shd w:val="clear" w:color="auto" w:fill="auto"/>
            <w:tcMar>
              <w:top w:w="0" w:type="dxa"/>
              <w:bottom w:w="0" w:type="dxa"/>
            </w:tcMar>
            <w:vAlign w:val="center"/>
          </w:tcPr>
          <w:p w14:paraId="59C63A2C" w14:textId="77777777" w:rsidR="00483BF7" w:rsidRPr="00687E5D" w:rsidRDefault="008053FA" w:rsidP="003464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87E5D">
              <w:rPr>
                <w:rFonts w:ascii="Arial" w:hAnsi="Arial" w:cs="Arial"/>
                <w:color w:val="010000"/>
                <w:sz w:val="20"/>
              </w:rPr>
              <w:t>Expenses</w:t>
            </w:r>
          </w:p>
        </w:tc>
        <w:tc>
          <w:tcPr>
            <w:tcW w:w="1330" w:type="pct"/>
            <w:shd w:val="clear" w:color="auto" w:fill="auto"/>
            <w:tcMar>
              <w:top w:w="0" w:type="dxa"/>
              <w:bottom w:w="0" w:type="dxa"/>
            </w:tcMar>
            <w:vAlign w:val="center"/>
          </w:tcPr>
          <w:p w14:paraId="24B285EC" w14:textId="77777777" w:rsidR="00483BF7" w:rsidRPr="00687E5D" w:rsidRDefault="008053FA" w:rsidP="003464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87E5D">
              <w:rPr>
                <w:rFonts w:ascii="Arial" w:hAnsi="Arial" w:cs="Arial"/>
                <w:color w:val="010000"/>
                <w:sz w:val="20"/>
              </w:rPr>
              <w:t>Note</w:t>
            </w:r>
          </w:p>
        </w:tc>
      </w:tr>
      <w:tr w:rsidR="00483BF7" w:rsidRPr="00687E5D" w14:paraId="54D6F624" w14:textId="77777777" w:rsidTr="00C01B68">
        <w:tc>
          <w:tcPr>
            <w:tcW w:w="456" w:type="pct"/>
            <w:shd w:val="clear" w:color="auto" w:fill="auto"/>
            <w:tcMar>
              <w:top w:w="0" w:type="dxa"/>
              <w:bottom w:w="0" w:type="dxa"/>
            </w:tcMar>
            <w:vAlign w:val="center"/>
          </w:tcPr>
          <w:p w14:paraId="7A71697A" w14:textId="77777777" w:rsidR="00483BF7" w:rsidRPr="00687E5D" w:rsidRDefault="008053FA" w:rsidP="003464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87E5D">
              <w:rPr>
                <w:rFonts w:ascii="Arial" w:hAnsi="Arial" w:cs="Arial"/>
                <w:color w:val="010000"/>
                <w:sz w:val="20"/>
              </w:rPr>
              <w:t>1</w:t>
            </w:r>
          </w:p>
        </w:tc>
        <w:tc>
          <w:tcPr>
            <w:tcW w:w="1996" w:type="pct"/>
            <w:shd w:val="clear" w:color="auto" w:fill="auto"/>
            <w:tcMar>
              <w:top w:w="0" w:type="dxa"/>
              <w:bottom w:w="0" w:type="dxa"/>
            </w:tcMar>
            <w:vAlign w:val="center"/>
          </w:tcPr>
          <w:p w14:paraId="6BE86C79" w14:textId="77777777" w:rsidR="00483BF7" w:rsidRPr="00687E5D" w:rsidRDefault="008053FA" w:rsidP="003464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87E5D">
              <w:rPr>
                <w:rFonts w:ascii="Arial" w:hAnsi="Arial" w:cs="Arial"/>
                <w:color w:val="010000"/>
                <w:sz w:val="20"/>
              </w:rPr>
              <w:t>Expenses for repairing and replacing materials and equipment of 2 elevators (OB1 and OB2)</w:t>
            </w:r>
          </w:p>
        </w:tc>
        <w:tc>
          <w:tcPr>
            <w:tcW w:w="1217" w:type="pct"/>
            <w:shd w:val="clear" w:color="auto" w:fill="auto"/>
            <w:tcMar>
              <w:top w:w="0" w:type="dxa"/>
              <w:bottom w:w="0" w:type="dxa"/>
            </w:tcMar>
            <w:vAlign w:val="center"/>
          </w:tcPr>
          <w:p w14:paraId="4E96413D" w14:textId="77777777" w:rsidR="00483BF7" w:rsidRPr="00687E5D" w:rsidRDefault="008053FA" w:rsidP="003464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87E5D">
              <w:rPr>
                <w:rFonts w:ascii="Arial" w:hAnsi="Arial" w:cs="Arial"/>
                <w:color w:val="010000"/>
                <w:sz w:val="20"/>
              </w:rPr>
              <w:t>38,442,000</w:t>
            </w:r>
          </w:p>
        </w:tc>
        <w:tc>
          <w:tcPr>
            <w:tcW w:w="1330" w:type="pct"/>
            <w:shd w:val="clear" w:color="auto" w:fill="auto"/>
            <w:tcMar>
              <w:top w:w="0" w:type="dxa"/>
              <w:bottom w:w="0" w:type="dxa"/>
            </w:tcMar>
            <w:vAlign w:val="center"/>
          </w:tcPr>
          <w:p w14:paraId="75518E8F" w14:textId="77777777" w:rsidR="00483BF7" w:rsidRPr="00687E5D" w:rsidRDefault="008053FA" w:rsidP="003464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87E5D">
              <w:rPr>
                <w:rFonts w:ascii="Arial" w:hAnsi="Arial" w:cs="Arial"/>
                <w:color w:val="010000"/>
                <w:sz w:val="20"/>
              </w:rPr>
              <w:t>Including VAT</w:t>
            </w:r>
          </w:p>
        </w:tc>
      </w:tr>
    </w:tbl>
    <w:p w14:paraId="55AD9606" w14:textId="77777777" w:rsidR="00483BF7" w:rsidRPr="00687E5D" w:rsidRDefault="008053FA" w:rsidP="0034643C">
      <w:pPr>
        <w:numPr>
          <w:ilvl w:val="0"/>
          <w:numId w:val="1"/>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87E5D">
        <w:rPr>
          <w:rFonts w:ascii="Arial" w:hAnsi="Arial" w:cs="Arial"/>
          <w:color w:val="010000"/>
          <w:sz w:val="20"/>
        </w:rPr>
        <w:t>Accept/approve the policy of paying expenses related to the operation and management of the Asset that has been and will be incurred since December 7, 2023, specifically as follows:</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45"/>
        <w:gridCol w:w="2994"/>
        <w:gridCol w:w="2435"/>
        <w:gridCol w:w="2743"/>
      </w:tblGrid>
      <w:tr w:rsidR="00483BF7" w:rsidRPr="00687E5D" w14:paraId="6A932D0F" w14:textId="77777777" w:rsidTr="00C01B68">
        <w:tc>
          <w:tcPr>
            <w:tcW w:w="469" w:type="pct"/>
            <w:shd w:val="clear" w:color="auto" w:fill="auto"/>
            <w:tcMar>
              <w:top w:w="0" w:type="dxa"/>
              <w:bottom w:w="0" w:type="dxa"/>
            </w:tcMar>
            <w:vAlign w:val="center"/>
          </w:tcPr>
          <w:p w14:paraId="7F6140F0" w14:textId="77777777" w:rsidR="00483BF7" w:rsidRPr="00687E5D" w:rsidRDefault="008053FA" w:rsidP="003464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87E5D">
              <w:rPr>
                <w:rFonts w:ascii="Arial" w:hAnsi="Arial" w:cs="Arial"/>
                <w:color w:val="010000"/>
                <w:sz w:val="20"/>
              </w:rPr>
              <w:t>No.</w:t>
            </w:r>
          </w:p>
        </w:tc>
        <w:tc>
          <w:tcPr>
            <w:tcW w:w="1660" w:type="pct"/>
            <w:shd w:val="clear" w:color="auto" w:fill="auto"/>
            <w:tcMar>
              <w:top w:w="0" w:type="dxa"/>
              <w:bottom w:w="0" w:type="dxa"/>
            </w:tcMar>
            <w:vAlign w:val="center"/>
          </w:tcPr>
          <w:p w14:paraId="51053272" w14:textId="77777777" w:rsidR="00483BF7" w:rsidRPr="00687E5D" w:rsidRDefault="008053FA" w:rsidP="003464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87E5D">
              <w:rPr>
                <w:rFonts w:ascii="Arial" w:hAnsi="Arial" w:cs="Arial"/>
                <w:color w:val="010000"/>
                <w:sz w:val="20"/>
              </w:rPr>
              <w:t>Expenses for managing and operating incurred monthly</w:t>
            </w:r>
          </w:p>
        </w:tc>
        <w:tc>
          <w:tcPr>
            <w:tcW w:w="1350" w:type="pct"/>
            <w:shd w:val="clear" w:color="auto" w:fill="auto"/>
            <w:tcMar>
              <w:top w:w="0" w:type="dxa"/>
              <w:bottom w:w="0" w:type="dxa"/>
            </w:tcMar>
            <w:vAlign w:val="center"/>
          </w:tcPr>
          <w:p w14:paraId="4F6D119C" w14:textId="77777777" w:rsidR="00483BF7" w:rsidRPr="00687E5D" w:rsidRDefault="008053FA" w:rsidP="003464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87E5D">
              <w:rPr>
                <w:rFonts w:ascii="Arial" w:hAnsi="Arial" w:cs="Arial"/>
                <w:color w:val="010000"/>
                <w:sz w:val="20"/>
              </w:rPr>
              <w:t>Expenses (VND) (including VAT)</w:t>
            </w:r>
          </w:p>
        </w:tc>
        <w:tc>
          <w:tcPr>
            <w:tcW w:w="1521" w:type="pct"/>
            <w:shd w:val="clear" w:color="auto" w:fill="auto"/>
            <w:tcMar>
              <w:top w:w="0" w:type="dxa"/>
              <w:bottom w:w="0" w:type="dxa"/>
            </w:tcMar>
            <w:vAlign w:val="center"/>
          </w:tcPr>
          <w:p w14:paraId="2649717A" w14:textId="77777777" w:rsidR="00483BF7" w:rsidRPr="00687E5D" w:rsidRDefault="008053FA" w:rsidP="003464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87E5D">
              <w:rPr>
                <w:rFonts w:ascii="Arial" w:hAnsi="Arial" w:cs="Arial"/>
                <w:color w:val="010000"/>
                <w:sz w:val="20"/>
              </w:rPr>
              <w:t>Note</w:t>
            </w:r>
          </w:p>
        </w:tc>
      </w:tr>
      <w:tr w:rsidR="00483BF7" w:rsidRPr="00687E5D" w14:paraId="29EF6895" w14:textId="77777777" w:rsidTr="00C01B68">
        <w:tc>
          <w:tcPr>
            <w:tcW w:w="469" w:type="pct"/>
            <w:shd w:val="clear" w:color="auto" w:fill="auto"/>
            <w:tcMar>
              <w:top w:w="0" w:type="dxa"/>
              <w:bottom w:w="0" w:type="dxa"/>
            </w:tcMar>
            <w:vAlign w:val="center"/>
          </w:tcPr>
          <w:p w14:paraId="2B348D30" w14:textId="77777777" w:rsidR="00483BF7" w:rsidRPr="00687E5D" w:rsidRDefault="00483BF7" w:rsidP="0034643C">
            <w:pPr>
              <w:tabs>
                <w:tab w:val="left" w:pos="432"/>
              </w:tabs>
              <w:spacing w:after="120" w:line="360" w:lineRule="auto"/>
              <w:jc w:val="both"/>
              <w:rPr>
                <w:rFonts w:ascii="Arial" w:eastAsia="Arial" w:hAnsi="Arial" w:cs="Arial"/>
                <w:color w:val="010000"/>
                <w:sz w:val="20"/>
                <w:szCs w:val="20"/>
              </w:rPr>
            </w:pPr>
          </w:p>
        </w:tc>
        <w:tc>
          <w:tcPr>
            <w:tcW w:w="1660" w:type="pct"/>
            <w:shd w:val="clear" w:color="auto" w:fill="auto"/>
            <w:tcMar>
              <w:top w:w="0" w:type="dxa"/>
              <w:bottom w:w="0" w:type="dxa"/>
            </w:tcMar>
            <w:vAlign w:val="center"/>
          </w:tcPr>
          <w:p w14:paraId="1A194421" w14:textId="77777777" w:rsidR="00483BF7" w:rsidRPr="00687E5D" w:rsidRDefault="008053FA" w:rsidP="003464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87E5D">
              <w:rPr>
                <w:rFonts w:ascii="Arial" w:hAnsi="Arial" w:cs="Arial"/>
                <w:color w:val="010000"/>
                <w:sz w:val="20"/>
              </w:rPr>
              <w:t>Total expected amount</w:t>
            </w:r>
          </w:p>
        </w:tc>
        <w:tc>
          <w:tcPr>
            <w:tcW w:w="1350" w:type="pct"/>
            <w:shd w:val="clear" w:color="auto" w:fill="auto"/>
            <w:tcMar>
              <w:top w:w="0" w:type="dxa"/>
              <w:bottom w:w="0" w:type="dxa"/>
            </w:tcMar>
            <w:vAlign w:val="center"/>
          </w:tcPr>
          <w:p w14:paraId="565769B9" w14:textId="77777777" w:rsidR="00483BF7" w:rsidRPr="00687E5D" w:rsidRDefault="008053FA" w:rsidP="003464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87E5D">
              <w:rPr>
                <w:rFonts w:ascii="Arial" w:hAnsi="Arial" w:cs="Arial"/>
                <w:color w:val="010000"/>
                <w:sz w:val="20"/>
              </w:rPr>
              <w:t>41,986,240</w:t>
            </w:r>
          </w:p>
        </w:tc>
        <w:tc>
          <w:tcPr>
            <w:tcW w:w="1521" w:type="pct"/>
            <w:shd w:val="clear" w:color="auto" w:fill="auto"/>
            <w:tcMar>
              <w:top w:w="0" w:type="dxa"/>
              <w:bottom w:w="0" w:type="dxa"/>
            </w:tcMar>
            <w:vAlign w:val="center"/>
          </w:tcPr>
          <w:p w14:paraId="727FBFD6" w14:textId="77777777" w:rsidR="00483BF7" w:rsidRPr="00687E5D" w:rsidRDefault="00483BF7" w:rsidP="0034643C">
            <w:pPr>
              <w:tabs>
                <w:tab w:val="left" w:pos="432"/>
              </w:tabs>
              <w:spacing w:after="120" w:line="360" w:lineRule="auto"/>
              <w:jc w:val="both"/>
              <w:rPr>
                <w:rFonts w:ascii="Arial" w:eastAsia="Arial" w:hAnsi="Arial" w:cs="Arial"/>
                <w:color w:val="010000"/>
                <w:sz w:val="20"/>
                <w:szCs w:val="20"/>
              </w:rPr>
            </w:pPr>
          </w:p>
        </w:tc>
      </w:tr>
      <w:tr w:rsidR="00483BF7" w:rsidRPr="00687E5D" w14:paraId="5BC46017" w14:textId="77777777" w:rsidTr="00C01B68">
        <w:tc>
          <w:tcPr>
            <w:tcW w:w="469" w:type="pct"/>
            <w:shd w:val="clear" w:color="auto" w:fill="auto"/>
            <w:tcMar>
              <w:top w:w="0" w:type="dxa"/>
              <w:bottom w:w="0" w:type="dxa"/>
            </w:tcMar>
            <w:vAlign w:val="center"/>
          </w:tcPr>
          <w:p w14:paraId="608BEF13" w14:textId="77777777" w:rsidR="00483BF7" w:rsidRPr="00687E5D" w:rsidRDefault="008053FA" w:rsidP="003464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87E5D">
              <w:rPr>
                <w:rFonts w:ascii="Arial" w:hAnsi="Arial" w:cs="Arial"/>
                <w:color w:val="010000"/>
                <w:sz w:val="20"/>
              </w:rPr>
              <w:t>1</w:t>
            </w:r>
          </w:p>
        </w:tc>
        <w:tc>
          <w:tcPr>
            <w:tcW w:w="1660" w:type="pct"/>
            <w:shd w:val="clear" w:color="auto" w:fill="auto"/>
            <w:tcMar>
              <w:top w:w="0" w:type="dxa"/>
              <w:bottom w:w="0" w:type="dxa"/>
            </w:tcMar>
            <w:vAlign w:val="center"/>
          </w:tcPr>
          <w:p w14:paraId="735F88A9" w14:textId="77777777" w:rsidR="00483BF7" w:rsidRPr="00687E5D" w:rsidRDefault="008053FA" w:rsidP="003464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87E5D">
              <w:rPr>
                <w:rFonts w:ascii="Arial" w:hAnsi="Arial" w:cs="Arial"/>
                <w:color w:val="010000"/>
                <w:sz w:val="20"/>
              </w:rPr>
              <w:t>Expenses for building service</w:t>
            </w:r>
          </w:p>
        </w:tc>
        <w:tc>
          <w:tcPr>
            <w:tcW w:w="1350" w:type="pct"/>
            <w:shd w:val="clear" w:color="auto" w:fill="auto"/>
            <w:tcMar>
              <w:top w:w="0" w:type="dxa"/>
              <w:bottom w:w="0" w:type="dxa"/>
            </w:tcMar>
            <w:vAlign w:val="center"/>
          </w:tcPr>
          <w:p w14:paraId="330AB6A7" w14:textId="77777777" w:rsidR="00483BF7" w:rsidRPr="00687E5D" w:rsidRDefault="008053FA" w:rsidP="003464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87E5D">
              <w:rPr>
                <w:rFonts w:ascii="Arial" w:hAnsi="Arial" w:cs="Arial"/>
                <w:color w:val="010000"/>
                <w:sz w:val="20"/>
              </w:rPr>
              <w:t>16,806,240</w:t>
            </w:r>
          </w:p>
        </w:tc>
        <w:tc>
          <w:tcPr>
            <w:tcW w:w="1521" w:type="pct"/>
            <w:shd w:val="clear" w:color="auto" w:fill="auto"/>
            <w:tcMar>
              <w:top w:w="0" w:type="dxa"/>
              <w:bottom w:w="0" w:type="dxa"/>
            </w:tcMar>
            <w:vAlign w:val="center"/>
          </w:tcPr>
          <w:p w14:paraId="3D0DF6DD" w14:textId="77777777" w:rsidR="00483BF7" w:rsidRPr="00687E5D" w:rsidRDefault="00483BF7" w:rsidP="0034643C">
            <w:pPr>
              <w:tabs>
                <w:tab w:val="left" w:pos="432"/>
              </w:tabs>
              <w:spacing w:after="120" w:line="360" w:lineRule="auto"/>
              <w:jc w:val="both"/>
              <w:rPr>
                <w:rFonts w:ascii="Arial" w:eastAsia="Arial" w:hAnsi="Arial" w:cs="Arial"/>
                <w:color w:val="010000"/>
                <w:sz w:val="20"/>
                <w:szCs w:val="20"/>
              </w:rPr>
            </w:pPr>
          </w:p>
        </w:tc>
      </w:tr>
      <w:tr w:rsidR="00483BF7" w:rsidRPr="00687E5D" w14:paraId="48400A30" w14:textId="77777777" w:rsidTr="00C01B68">
        <w:tc>
          <w:tcPr>
            <w:tcW w:w="469" w:type="pct"/>
            <w:shd w:val="clear" w:color="auto" w:fill="auto"/>
            <w:tcMar>
              <w:top w:w="0" w:type="dxa"/>
              <w:bottom w:w="0" w:type="dxa"/>
            </w:tcMar>
            <w:vAlign w:val="center"/>
          </w:tcPr>
          <w:p w14:paraId="17A72A19" w14:textId="77777777" w:rsidR="00483BF7" w:rsidRPr="00687E5D" w:rsidRDefault="008053FA" w:rsidP="003464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87E5D">
              <w:rPr>
                <w:rFonts w:ascii="Arial" w:hAnsi="Arial" w:cs="Arial"/>
                <w:color w:val="010000"/>
                <w:sz w:val="20"/>
              </w:rPr>
              <w:t>2</w:t>
            </w:r>
          </w:p>
        </w:tc>
        <w:tc>
          <w:tcPr>
            <w:tcW w:w="1660" w:type="pct"/>
            <w:shd w:val="clear" w:color="auto" w:fill="auto"/>
            <w:tcMar>
              <w:top w:w="0" w:type="dxa"/>
              <w:bottom w:w="0" w:type="dxa"/>
            </w:tcMar>
            <w:vAlign w:val="center"/>
          </w:tcPr>
          <w:p w14:paraId="0306CF76" w14:textId="77777777" w:rsidR="00483BF7" w:rsidRPr="00687E5D" w:rsidRDefault="008053FA" w:rsidP="003464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87E5D">
              <w:rPr>
                <w:rFonts w:ascii="Arial" w:hAnsi="Arial" w:cs="Arial"/>
                <w:color w:val="010000"/>
                <w:sz w:val="20"/>
              </w:rPr>
              <w:t>Expenses for elevator maintenance</w:t>
            </w:r>
          </w:p>
        </w:tc>
        <w:tc>
          <w:tcPr>
            <w:tcW w:w="1350" w:type="pct"/>
            <w:shd w:val="clear" w:color="auto" w:fill="auto"/>
            <w:tcMar>
              <w:top w:w="0" w:type="dxa"/>
              <w:bottom w:w="0" w:type="dxa"/>
            </w:tcMar>
            <w:vAlign w:val="center"/>
          </w:tcPr>
          <w:p w14:paraId="37519532" w14:textId="77777777" w:rsidR="00483BF7" w:rsidRPr="00687E5D" w:rsidRDefault="008053FA" w:rsidP="003464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87E5D">
              <w:rPr>
                <w:rFonts w:ascii="Arial" w:hAnsi="Arial" w:cs="Arial"/>
                <w:color w:val="010000"/>
                <w:sz w:val="20"/>
              </w:rPr>
              <w:t>5,060,000</w:t>
            </w:r>
          </w:p>
        </w:tc>
        <w:tc>
          <w:tcPr>
            <w:tcW w:w="1521" w:type="pct"/>
            <w:shd w:val="clear" w:color="auto" w:fill="auto"/>
            <w:tcMar>
              <w:top w:w="0" w:type="dxa"/>
              <w:bottom w:w="0" w:type="dxa"/>
            </w:tcMar>
            <w:vAlign w:val="center"/>
          </w:tcPr>
          <w:p w14:paraId="4FD562E7" w14:textId="77777777" w:rsidR="00483BF7" w:rsidRPr="00687E5D" w:rsidRDefault="00483BF7" w:rsidP="0034643C">
            <w:pPr>
              <w:tabs>
                <w:tab w:val="left" w:pos="432"/>
              </w:tabs>
              <w:spacing w:after="120" w:line="360" w:lineRule="auto"/>
              <w:jc w:val="both"/>
              <w:rPr>
                <w:rFonts w:ascii="Arial" w:eastAsia="Arial" w:hAnsi="Arial" w:cs="Arial"/>
                <w:color w:val="010000"/>
                <w:sz w:val="20"/>
                <w:szCs w:val="20"/>
              </w:rPr>
            </w:pPr>
          </w:p>
        </w:tc>
      </w:tr>
      <w:tr w:rsidR="00483BF7" w:rsidRPr="00687E5D" w14:paraId="113A780F" w14:textId="77777777" w:rsidTr="00C01B68">
        <w:tc>
          <w:tcPr>
            <w:tcW w:w="469" w:type="pct"/>
            <w:shd w:val="clear" w:color="auto" w:fill="auto"/>
            <w:tcMar>
              <w:top w:w="0" w:type="dxa"/>
              <w:bottom w:w="0" w:type="dxa"/>
            </w:tcMar>
            <w:vAlign w:val="center"/>
          </w:tcPr>
          <w:p w14:paraId="5BD3BE35" w14:textId="77777777" w:rsidR="00483BF7" w:rsidRPr="00687E5D" w:rsidRDefault="008053FA" w:rsidP="003464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87E5D">
              <w:rPr>
                <w:rFonts w:ascii="Arial" w:hAnsi="Arial" w:cs="Arial"/>
                <w:color w:val="010000"/>
                <w:sz w:val="20"/>
              </w:rPr>
              <w:t>3</w:t>
            </w:r>
          </w:p>
        </w:tc>
        <w:tc>
          <w:tcPr>
            <w:tcW w:w="1660" w:type="pct"/>
            <w:shd w:val="clear" w:color="auto" w:fill="auto"/>
            <w:tcMar>
              <w:top w:w="0" w:type="dxa"/>
              <w:bottom w:w="0" w:type="dxa"/>
            </w:tcMar>
            <w:vAlign w:val="center"/>
          </w:tcPr>
          <w:p w14:paraId="6534F13C" w14:textId="77777777" w:rsidR="00483BF7" w:rsidRPr="00687E5D" w:rsidRDefault="008053FA" w:rsidP="003464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87E5D">
              <w:rPr>
                <w:rFonts w:ascii="Arial" w:hAnsi="Arial" w:cs="Arial"/>
                <w:color w:val="010000"/>
                <w:sz w:val="20"/>
              </w:rPr>
              <w:t>Electricity bill for office, elevator</w:t>
            </w:r>
          </w:p>
        </w:tc>
        <w:tc>
          <w:tcPr>
            <w:tcW w:w="1350" w:type="pct"/>
            <w:shd w:val="clear" w:color="auto" w:fill="auto"/>
            <w:tcMar>
              <w:top w:w="0" w:type="dxa"/>
              <w:bottom w:w="0" w:type="dxa"/>
            </w:tcMar>
            <w:vAlign w:val="center"/>
          </w:tcPr>
          <w:p w14:paraId="3B177FE9" w14:textId="77777777" w:rsidR="00483BF7" w:rsidRPr="00687E5D" w:rsidRDefault="008053FA" w:rsidP="003464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87E5D">
              <w:rPr>
                <w:rFonts w:ascii="Arial" w:hAnsi="Arial" w:cs="Arial"/>
                <w:color w:val="010000"/>
                <w:sz w:val="20"/>
              </w:rPr>
              <w:t>1,750,000</w:t>
            </w:r>
          </w:p>
        </w:tc>
        <w:tc>
          <w:tcPr>
            <w:tcW w:w="1521" w:type="pct"/>
            <w:shd w:val="clear" w:color="auto" w:fill="auto"/>
            <w:tcMar>
              <w:top w:w="0" w:type="dxa"/>
              <w:bottom w:w="0" w:type="dxa"/>
            </w:tcMar>
            <w:vAlign w:val="center"/>
          </w:tcPr>
          <w:p w14:paraId="0F92E3D1" w14:textId="77777777" w:rsidR="00483BF7" w:rsidRPr="00687E5D" w:rsidRDefault="008053FA" w:rsidP="003464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87E5D">
              <w:rPr>
                <w:rFonts w:ascii="Arial" w:hAnsi="Arial" w:cs="Arial"/>
                <w:color w:val="010000"/>
                <w:sz w:val="20"/>
              </w:rPr>
              <w:t>Maximum limit, payment according to actual expenses</w:t>
            </w:r>
          </w:p>
        </w:tc>
      </w:tr>
      <w:tr w:rsidR="00483BF7" w:rsidRPr="00687E5D" w14:paraId="11B39BDD" w14:textId="77777777" w:rsidTr="00C01B68">
        <w:tc>
          <w:tcPr>
            <w:tcW w:w="469" w:type="pct"/>
            <w:shd w:val="clear" w:color="auto" w:fill="auto"/>
            <w:tcMar>
              <w:top w:w="0" w:type="dxa"/>
              <w:bottom w:w="0" w:type="dxa"/>
            </w:tcMar>
            <w:vAlign w:val="center"/>
          </w:tcPr>
          <w:p w14:paraId="0B1C9498" w14:textId="77777777" w:rsidR="00483BF7" w:rsidRPr="00687E5D" w:rsidRDefault="008053FA" w:rsidP="003464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87E5D">
              <w:rPr>
                <w:rFonts w:ascii="Arial" w:hAnsi="Arial" w:cs="Arial"/>
                <w:color w:val="010000"/>
                <w:sz w:val="20"/>
              </w:rPr>
              <w:t>4</w:t>
            </w:r>
          </w:p>
        </w:tc>
        <w:tc>
          <w:tcPr>
            <w:tcW w:w="1660" w:type="pct"/>
            <w:shd w:val="clear" w:color="auto" w:fill="auto"/>
            <w:tcMar>
              <w:top w:w="0" w:type="dxa"/>
              <w:bottom w:w="0" w:type="dxa"/>
            </w:tcMar>
            <w:vAlign w:val="center"/>
          </w:tcPr>
          <w:p w14:paraId="627D4716" w14:textId="77777777" w:rsidR="00483BF7" w:rsidRPr="00687E5D" w:rsidRDefault="008053FA" w:rsidP="003464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87E5D">
              <w:rPr>
                <w:rFonts w:ascii="Arial" w:hAnsi="Arial" w:cs="Arial"/>
                <w:color w:val="010000"/>
                <w:sz w:val="20"/>
              </w:rPr>
              <w:t xml:space="preserve">Running water </w:t>
            </w:r>
          </w:p>
        </w:tc>
        <w:tc>
          <w:tcPr>
            <w:tcW w:w="1350" w:type="pct"/>
            <w:shd w:val="clear" w:color="auto" w:fill="auto"/>
            <w:tcMar>
              <w:top w:w="0" w:type="dxa"/>
              <w:bottom w:w="0" w:type="dxa"/>
            </w:tcMar>
            <w:vAlign w:val="center"/>
          </w:tcPr>
          <w:p w14:paraId="7B1CF5D9" w14:textId="77777777" w:rsidR="00483BF7" w:rsidRPr="00687E5D" w:rsidRDefault="008053FA" w:rsidP="003464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87E5D">
              <w:rPr>
                <w:rFonts w:ascii="Arial" w:hAnsi="Arial" w:cs="Arial"/>
                <w:color w:val="010000"/>
                <w:sz w:val="20"/>
              </w:rPr>
              <w:t>550,000</w:t>
            </w:r>
          </w:p>
        </w:tc>
        <w:tc>
          <w:tcPr>
            <w:tcW w:w="1521" w:type="pct"/>
            <w:shd w:val="clear" w:color="auto" w:fill="auto"/>
            <w:tcMar>
              <w:top w:w="0" w:type="dxa"/>
              <w:bottom w:w="0" w:type="dxa"/>
            </w:tcMar>
            <w:vAlign w:val="center"/>
          </w:tcPr>
          <w:p w14:paraId="21108463" w14:textId="77777777" w:rsidR="00483BF7" w:rsidRPr="00687E5D" w:rsidRDefault="008053FA" w:rsidP="003464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87E5D">
              <w:rPr>
                <w:rFonts w:ascii="Arial" w:hAnsi="Arial" w:cs="Arial"/>
                <w:color w:val="010000"/>
                <w:sz w:val="20"/>
              </w:rPr>
              <w:t>Maximum limit, payment according to actual expenses</w:t>
            </w:r>
          </w:p>
        </w:tc>
      </w:tr>
      <w:tr w:rsidR="00483BF7" w:rsidRPr="00687E5D" w14:paraId="56A7EE60" w14:textId="77777777" w:rsidTr="00C01B68">
        <w:tc>
          <w:tcPr>
            <w:tcW w:w="469" w:type="pct"/>
            <w:shd w:val="clear" w:color="auto" w:fill="auto"/>
            <w:tcMar>
              <w:top w:w="0" w:type="dxa"/>
              <w:bottom w:w="0" w:type="dxa"/>
            </w:tcMar>
            <w:vAlign w:val="center"/>
          </w:tcPr>
          <w:p w14:paraId="326F3538" w14:textId="77777777" w:rsidR="00483BF7" w:rsidRPr="00687E5D" w:rsidRDefault="008053FA" w:rsidP="003464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87E5D">
              <w:rPr>
                <w:rFonts w:ascii="Arial" w:hAnsi="Arial" w:cs="Arial"/>
                <w:color w:val="010000"/>
                <w:sz w:val="20"/>
              </w:rPr>
              <w:t>5</w:t>
            </w:r>
          </w:p>
        </w:tc>
        <w:tc>
          <w:tcPr>
            <w:tcW w:w="1660" w:type="pct"/>
            <w:shd w:val="clear" w:color="auto" w:fill="auto"/>
            <w:tcMar>
              <w:top w:w="0" w:type="dxa"/>
              <w:bottom w:w="0" w:type="dxa"/>
            </w:tcMar>
            <w:vAlign w:val="center"/>
          </w:tcPr>
          <w:p w14:paraId="6F596734" w14:textId="77777777" w:rsidR="00483BF7" w:rsidRPr="00687E5D" w:rsidRDefault="008053FA" w:rsidP="003464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87E5D">
              <w:rPr>
                <w:rFonts w:ascii="Arial" w:hAnsi="Arial" w:cs="Arial"/>
                <w:color w:val="010000"/>
                <w:sz w:val="20"/>
              </w:rPr>
              <w:t>Asset protection fee</w:t>
            </w:r>
          </w:p>
        </w:tc>
        <w:tc>
          <w:tcPr>
            <w:tcW w:w="1350" w:type="pct"/>
            <w:shd w:val="clear" w:color="auto" w:fill="auto"/>
            <w:tcMar>
              <w:top w:w="0" w:type="dxa"/>
              <w:bottom w:w="0" w:type="dxa"/>
            </w:tcMar>
            <w:vAlign w:val="center"/>
          </w:tcPr>
          <w:p w14:paraId="53D92921" w14:textId="77777777" w:rsidR="00483BF7" w:rsidRPr="00687E5D" w:rsidRDefault="008053FA" w:rsidP="003464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87E5D">
              <w:rPr>
                <w:rFonts w:ascii="Arial" w:hAnsi="Arial" w:cs="Arial"/>
                <w:color w:val="010000"/>
                <w:sz w:val="20"/>
              </w:rPr>
              <w:t>17,820,000</w:t>
            </w:r>
          </w:p>
        </w:tc>
        <w:tc>
          <w:tcPr>
            <w:tcW w:w="1521" w:type="pct"/>
            <w:shd w:val="clear" w:color="auto" w:fill="auto"/>
            <w:tcMar>
              <w:top w:w="0" w:type="dxa"/>
              <w:bottom w:w="0" w:type="dxa"/>
            </w:tcMar>
            <w:vAlign w:val="center"/>
          </w:tcPr>
          <w:p w14:paraId="4D0BBEEA" w14:textId="77777777" w:rsidR="00483BF7" w:rsidRPr="00687E5D" w:rsidRDefault="00483BF7" w:rsidP="0034643C">
            <w:pPr>
              <w:tabs>
                <w:tab w:val="left" w:pos="432"/>
              </w:tabs>
              <w:spacing w:after="120" w:line="360" w:lineRule="auto"/>
              <w:jc w:val="both"/>
              <w:rPr>
                <w:rFonts w:ascii="Arial" w:eastAsia="Arial" w:hAnsi="Arial" w:cs="Arial"/>
                <w:color w:val="010000"/>
                <w:sz w:val="20"/>
                <w:szCs w:val="20"/>
              </w:rPr>
            </w:pPr>
          </w:p>
        </w:tc>
      </w:tr>
    </w:tbl>
    <w:p w14:paraId="0370AAC7" w14:textId="77777777" w:rsidR="00483BF7" w:rsidRPr="00687E5D" w:rsidRDefault="008053FA" w:rsidP="0034643C">
      <w:pPr>
        <w:keepNext/>
        <w:numPr>
          <w:ilvl w:val="0"/>
          <w:numId w:val="1"/>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87E5D">
        <w:rPr>
          <w:rFonts w:ascii="Arial" w:hAnsi="Arial" w:cs="Arial"/>
          <w:color w:val="010000"/>
          <w:sz w:val="20"/>
        </w:rPr>
        <w:lastRenderedPageBreak/>
        <w:t>Payment:</w:t>
      </w:r>
    </w:p>
    <w:p w14:paraId="145435DD" w14:textId="261A17CF" w:rsidR="00483BF7" w:rsidRPr="00687E5D" w:rsidRDefault="00976EE1" w:rsidP="0034643C">
      <w:pPr>
        <w:pBdr>
          <w:top w:val="nil"/>
          <w:left w:val="nil"/>
          <w:bottom w:val="nil"/>
          <w:right w:val="nil"/>
          <w:between w:val="nil"/>
        </w:pBdr>
        <w:tabs>
          <w:tab w:val="left" w:pos="432"/>
        </w:tabs>
        <w:spacing w:after="120" w:line="360" w:lineRule="auto"/>
        <w:jc w:val="both"/>
        <w:rPr>
          <w:rFonts w:ascii="Arial" w:hAnsi="Arial" w:cs="Arial"/>
          <w:color w:val="010000"/>
          <w:sz w:val="20"/>
        </w:rPr>
      </w:pPr>
      <w:r w:rsidRPr="00687E5D">
        <w:rPr>
          <w:rFonts w:ascii="Arial" w:hAnsi="Arial" w:cs="Arial"/>
          <w:color w:val="010000"/>
          <w:sz w:val="20"/>
        </w:rPr>
        <w:t>National Citizen Bank Asset Management Company Limited</w:t>
      </w:r>
      <w:r w:rsidR="008053FA" w:rsidRPr="00687E5D">
        <w:rPr>
          <w:rFonts w:ascii="Arial" w:hAnsi="Arial" w:cs="Arial"/>
          <w:color w:val="010000"/>
          <w:sz w:val="20"/>
        </w:rPr>
        <w:t xml:space="preserve"> used </w:t>
      </w:r>
      <w:r w:rsidR="00687E5D" w:rsidRPr="00687E5D">
        <w:rPr>
          <w:rFonts w:ascii="Arial" w:hAnsi="Arial" w:cs="Arial"/>
          <w:color w:val="010000"/>
          <w:sz w:val="20"/>
        </w:rPr>
        <w:t xml:space="preserve">its </w:t>
      </w:r>
      <w:r w:rsidR="008053FA" w:rsidRPr="00687E5D">
        <w:rPr>
          <w:rFonts w:ascii="Arial" w:hAnsi="Arial" w:cs="Arial"/>
          <w:color w:val="010000"/>
          <w:sz w:val="20"/>
        </w:rPr>
        <w:t>own</w:t>
      </w:r>
      <w:r w:rsidR="00687E5D" w:rsidRPr="00687E5D">
        <w:rPr>
          <w:rFonts w:ascii="Arial" w:hAnsi="Arial" w:cs="Arial"/>
          <w:color w:val="010000"/>
          <w:sz w:val="20"/>
        </w:rPr>
        <w:t xml:space="preserve"> capital</w:t>
      </w:r>
      <w:r w:rsidR="008053FA" w:rsidRPr="00687E5D">
        <w:rPr>
          <w:rFonts w:ascii="Arial" w:hAnsi="Arial" w:cs="Arial"/>
          <w:color w:val="010000"/>
          <w:sz w:val="20"/>
        </w:rPr>
        <w:t xml:space="preserve"> to prepay the expenses mentioned in Points b and c, Clause 1.2 of this Article, then </w:t>
      </w:r>
      <w:r w:rsidRPr="00687E5D">
        <w:rPr>
          <w:rFonts w:ascii="Arial" w:hAnsi="Arial" w:cs="Arial"/>
          <w:color w:val="010000"/>
          <w:sz w:val="20"/>
        </w:rPr>
        <w:t>submitted</w:t>
      </w:r>
      <w:r w:rsidR="008053FA" w:rsidRPr="00687E5D">
        <w:rPr>
          <w:rFonts w:ascii="Arial" w:hAnsi="Arial" w:cs="Arial"/>
          <w:color w:val="010000"/>
          <w:sz w:val="20"/>
        </w:rPr>
        <w:t xml:space="preserve"> to the competent authority of National Citizen Commercial Joint Stock Bank for payment/refund </w:t>
      </w:r>
      <w:r w:rsidRPr="00687E5D">
        <w:rPr>
          <w:rFonts w:ascii="Arial" w:hAnsi="Arial" w:cs="Arial"/>
          <w:color w:val="010000"/>
          <w:sz w:val="20"/>
        </w:rPr>
        <w:t>based on</w:t>
      </w:r>
      <w:r w:rsidR="008053FA" w:rsidRPr="00687E5D">
        <w:rPr>
          <w:rFonts w:ascii="Arial" w:hAnsi="Arial" w:cs="Arial"/>
          <w:color w:val="010000"/>
          <w:sz w:val="20"/>
        </w:rPr>
        <w:t xml:space="preserve"> reasonable and valid invoices and documents.</w:t>
      </w:r>
    </w:p>
    <w:p w14:paraId="7DA32125" w14:textId="77777777" w:rsidR="00483BF7" w:rsidRPr="00687E5D" w:rsidRDefault="008053FA" w:rsidP="0034643C">
      <w:pPr>
        <w:keepNext/>
        <w:numPr>
          <w:ilvl w:val="0"/>
          <w:numId w:val="3"/>
        </w:numPr>
        <w:pBdr>
          <w:top w:val="nil"/>
          <w:left w:val="nil"/>
          <w:bottom w:val="nil"/>
          <w:right w:val="nil"/>
          <w:between w:val="nil"/>
        </w:pBdr>
        <w:tabs>
          <w:tab w:val="left" w:pos="432"/>
          <w:tab w:val="left" w:pos="958"/>
        </w:tabs>
        <w:spacing w:after="120" w:line="360" w:lineRule="auto"/>
        <w:jc w:val="both"/>
        <w:rPr>
          <w:rFonts w:ascii="Arial" w:eastAsia="Arial" w:hAnsi="Arial" w:cs="Arial"/>
          <w:color w:val="010000"/>
          <w:sz w:val="20"/>
          <w:szCs w:val="20"/>
        </w:rPr>
      </w:pPr>
      <w:r w:rsidRPr="00687E5D">
        <w:rPr>
          <w:rFonts w:ascii="Arial" w:hAnsi="Arial" w:cs="Arial"/>
          <w:color w:val="010000"/>
          <w:sz w:val="20"/>
        </w:rPr>
        <w:t>Implementation procedures:</w:t>
      </w:r>
    </w:p>
    <w:p w14:paraId="763B7BAE" w14:textId="5B35911D" w:rsidR="00483BF7" w:rsidRPr="00687E5D" w:rsidRDefault="008053FA" w:rsidP="003464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87E5D">
        <w:rPr>
          <w:rFonts w:ascii="Arial" w:hAnsi="Arial" w:cs="Arial"/>
          <w:color w:val="010000"/>
          <w:sz w:val="20"/>
        </w:rPr>
        <w:t xml:space="preserve">Approve the authorization for </w:t>
      </w:r>
      <w:r w:rsidR="00976EE1" w:rsidRPr="00687E5D">
        <w:rPr>
          <w:rFonts w:ascii="Arial" w:hAnsi="Arial" w:cs="Arial"/>
          <w:color w:val="010000"/>
          <w:sz w:val="20"/>
        </w:rPr>
        <w:t>the National Citizen Bank Asset Management Company Limited</w:t>
      </w:r>
      <w:r w:rsidRPr="00687E5D">
        <w:rPr>
          <w:rFonts w:ascii="Arial" w:hAnsi="Arial" w:cs="Arial"/>
          <w:color w:val="010000"/>
          <w:sz w:val="20"/>
        </w:rPr>
        <w:t xml:space="preserve"> to implement work on behalf of National Citizen Commercial Joint Stock Bank, sign contracts, agreements</w:t>
      </w:r>
      <w:r w:rsidR="00976EE1" w:rsidRPr="00687E5D">
        <w:rPr>
          <w:rFonts w:ascii="Arial" w:hAnsi="Arial" w:cs="Arial"/>
          <w:color w:val="010000"/>
          <w:sz w:val="20"/>
        </w:rPr>
        <w:t>,</w:t>
      </w:r>
      <w:r w:rsidRPr="00687E5D">
        <w:rPr>
          <w:rFonts w:ascii="Arial" w:hAnsi="Arial" w:cs="Arial"/>
          <w:color w:val="010000"/>
          <w:sz w:val="20"/>
        </w:rPr>
        <w:t xml:space="preserve"> and documents related to the plan on managing and operating assets mentioned in Clause 1.2 of this Article. </w:t>
      </w:r>
    </w:p>
    <w:p w14:paraId="6304AA22" w14:textId="77777777" w:rsidR="00483BF7" w:rsidRPr="00687E5D" w:rsidRDefault="008053FA" w:rsidP="003464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87E5D">
        <w:rPr>
          <w:rFonts w:ascii="Arial" w:hAnsi="Arial" w:cs="Arial"/>
          <w:color w:val="010000"/>
          <w:sz w:val="20"/>
        </w:rPr>
        <w:t>‎‎Article 2. Terms of enforcement</w:t>
      </w:r>
    </w:p>
    <w:p w14:paraId="44FFD828" w14:textId="77777777" w:rsidR="00483BF7" w:rsidRPr="00687E5D" w:rsidRDefault="008053FA" w:rsidP="0034643C">
      <w:pPr>
        <w:numPr>
          <w:ilvl w:val="1"/>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687E5D">
        <w:rPr>
          <w:rFonts w:ascii="Arial" w:hAnsi="Arial" w:cs="Arial"/>
          <w:color w:val="010000"/>
          <w:sz w:val="20"/>
        </w:rPr>
        <w:t xml:space="preserve">Require </w:t>
      </w:r>
      <w:r w:rsidR="00976EE1" w:rsidRPr="00687E5D">
        <w:rPr>
          <w:rFonts w:ascii="Arial" w:hAnsi="Arial" w:cs="Arial"/>
          <w:color w:val="010000"/>
          <w:sz w:val="20"/>
        </w:rPr>
        <w:t>National Citizen Bank Asset Management Company Limited</w:t>
      </w:r>
      <w:r w:rsidRPr="00687E5D">
        <w:rPr>
          <w:rFonts w:ascii="Arial" w:hAnsi="Arial" w:cs="Arial"/>
          <w:color w:val="010000"/>
          <w:sz w:val="20"/>
        </w:rPr>
        <w:t xml:space="preserve"> to properly and fully implement the scope of authorized work in compliance with the provisions of law, </w:t>
      </w:r>
      <w:r w:rsidR="00976EE1" w:rsidRPr="00687E5D">
        <w:rPr>
          <w:rFonts w:ascii="Arial" w:hAnsi="Arial" w:cs="Arial"/>
          <w:color w:val="010000"/>
          <w:sz w:val="20"/>
        </w:rPr>
        <w:t xml:space="preserve">and </w:t>
      </w:r>
      <w:r w:rsidRPr="00687E5D">
        <w:rPr>
          <w:rFonts w:ascii="Arial" w:hAnsi="Arial" w:cs="Arial"/>
          <w:color w:val="010000"/>
          <w:sz w:val="20"/>
        </w:rPr>
        <w:t>the regulations of National Citizen Commercial Joint Stock Bank and accelerate the sale/transfer of assets as approved by National Citizen Commercial Joint Stock Bank authorities.</w:t>
      </w:r>
    </w:p>
    <w:p w14:paraId="26144F66" w14:textId="77777777" w:rsidR="00483BF7" w:rsidRPr="00687E5D" w:rsidRDefault="008053FA" w:rsidP="0034643C">
      <w:pPr>
        <w:numPr>
          <w:ilvl w:val="1"/>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687E5D">
        <w:rPr>
          <w:rFonts w:ascii="Arial" w:hAnsi="Arial" w:cs="Arial"/>
          <w:color w:val="010000"/>
          <w:sz w:val="20"/>
        </w:rPr>
        <w:t xml:space="preserve">Assign the General Manager/authorized person and </w:t>
      </w:r>
      <w:r w:rsidR="00976EE1" w:rsidRPr="00687E5D">
        <w:rPr>
          <w:rFonts w:ascii="Arial" w:hAnsi="Arial" w:cs="Arial"/>
          <w:color w:val="010000"/>
          <w:sz w:val="20"/>
        </w:rPr>
        <w:t>National Citizen Bank Asset Management Company Limited</w:t>
      </w:r>
      <w:r w:rsidRPr="00687E5D">
        <w:rPr>
          <w:rFonts w:ascii="Arial" w:hAnsi="Arial" w:cs="Arial"/>
          <w:color w:val="010000"/>
          <w:sz w:val="20"/>
        </w:rPr>
        <w:t xml:space="preserve"> to organize implementation and at the same time direct relevant units, divisions/departments</w:t>
      </w:r>
      <w:r w:rsidR="00976EE1" w:rsidRPr="00687E5D">
        <w:rPr>
          <w:rFonts w:ascii="Arial" w:hAnsi="Arial" w:cs="Arial"/>
          <w:color w:val="010000"/>
          <w:sz w:val="20"/>
        </w:rPr>
        <w:t>,</w:t>
      </w:r>
      <w:r w:rsidRPr="00687E5D">
        <w:rPr>
          <w:rFonts w:ascii="Arial" w:hAnsi="Arial" w:cs="Arial"/>
          <w:color w:val="010000"/>
          <w:sz w:val="20"/>
        </w:rPr>
        <w:t xml:space="preserve"> and individuals to implement procedures and work related to the plan on managing and operating assets effectively, in compliance with the regulations of National Citizen Commercial Joint Stock Bank and the provisions of law.</w:t>
      </w:r>
    </w:p>
    <w:p w14:paraId="7436BFDD" w14:textId="77777777" w:rsidR="00483BF7" w:rsidRPr="00687E5D" w:rsidRDefault="008053FA" w:rsidP="0034643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87E5D">
        <w:rPr>
          <w:rFonts w:ascii="Arial" w:hAnsi="Arial" w:cs="Arial"/>
          <w:color w:val="010000"/>
          <w:sz w:val="20"/>
        </w:rPr>
        <w:t>‎‎Article 3. This Resolution takes effect from June 12, 2024. Within the scope of their powers and responsibilities, relevant units and individuals are responsible for organizing the implementation of this Resolution.</w:t>
      </w:r>
    </w:p>
    <w:sectPr w:rsidR="00483BF7" w:rsidRPr="00687E5D" w:rsidSect="00C01B68">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C5A9F"/>
    <w:multiLevelType w:val="multilevel"/>
    <w:tmpl w:val="95161B1A"/>
    <w:lvl w:ilvl="0">
      <w:start w:val="1"/>
      <w:numFmt w:val="decimal"/>
      <w:lvlText w:val="1.%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1105122"/>
    <w:multiLevelType w:val="multilevel"/>
    <w:tmpl w:val="A05A349A"/>
    <w:lvl w:ilvl="0">
      <w:start w:val="2"/>
      <w:numFmt w:val="decimal"/>
      <w:lvlText w:val="%1"/>
      <w:lvlJc w:val="left"/>
      <w:pPr>
        <w:ind w:left="360" w:hanging="360"/>
      </w:pPr>
      <w:rPr>
        <w:rFonts w:ascii="Arial" w:eastAsia="Arial" w:hAnsi="Arial" w:cs="Arial"/>
        <w:b w:val="0"/>
        <w:i w:val="0"/>
        <w:sz w:val="20"/>
        <w:szCs w:val="20"/>
        <w:u w:val="none"/>
      </w:rPr>
    </w:lvl>
    <w:lvl w:ilvl="1">
      <w:start w:val="1"/>
      <w:numFmt w:val="decimal"/>
      <w:lvlText w:val="%1.%2"/>
      <w:lvlJc w:val="left"/>
      <w:pPr>
        <w:ind w:left="720" w:hanging="360"/>
      </w:pPr>
      <w:rPr>
        <w:rFonts w:ascii="Arial" w:eastAsia="Arial" w:hAnsi="Arial" w:cs="Arial"/>
        <w:b w:val="0"/>
        <w:i w:val="0"/>
        <w:sz w:val="20"/>
        <w:szCs w:val="20"/>
      </w:rPr>
    </w:lvl>
    <w:lvl w:ilvl="2">
      <w:start w:val="1"/>
      <w:numFmt w:val="decimal"/>
      <w:lvlText w:val="%1.%2.%3"/>
      <w:lvlJc w:val="left"/>
      <w:pPr>
        <w:ind w:left="1440" w:hanging="720"/>
      </w:pPr>
      <w:rPr>
        <w:rFonts w:ascii="Arial" w:eastAsia="Arial" w:hAnsi="Arial" w:cs="Arial"/>
        <w:b w:val="0"/>
        <w:i w:val="0"/>
        <w:sz w:val="20"/>
        <w:szCs w:val="2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4E747D0E"/>
    <w:multiLevelType w:val="multilevel"/>
    <w:tmpl w:val="B1BADA40"/>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BF7"/>
    <w:rsid w:val="0034643C"/>
    <w:rsid w:val="00483BF7"/>
    <w:rsid w:val="00687E5D"/>
    <w:rsid w:val="008053FA"/>
    <w:rsid w:val="00976EE1"/>
    <w:rsid w:val="00B8137B"/>
    <w:rsid w:val="00C01B68"/>
    <w:rsid w:val="00C27FB5"/>
    <w:rsid w:val="00FD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9F2D1"/>
  <w15:docId w15:val="{EEB26CB2-6DEE-4E2D-96E3-283F8A2A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6">
    <w:name w:val="Văn bản nội dung (6)_"/>
    <w:basedOn w:val="DefaultParagraphFont"/>
    <w:link w:val="Vnbnnidung60"/>
    <w:rPr>
      <w:rFonts w:ascii="Arial" w:eastAsia="Arial" w:hAnsi="Arial" w:cs="Arial"/>
      <w:b/>
      <w:bCs/>
      <w:i w:val="0"/>
      <w:iCs w:val="0"/>
      <w:smallCaps w:val="0"/>
      <w:strike w:val="0"/>
      <w:sz w:val="30"/>
      <w:szCs w:val="30"/>
      <w:u w:val="none"/>
      <w:shd w:val="clear" w:color="auto" w:fill="auto"/>
    </w:rPr>
  </w:style>
  <w:style w:type="character" w:customStyle="1" w:styleId="Vnbnnidung4">
    <w:name w:val="Văn bản nội dung (4)_"/>
    <w:basedOn w:val="DefaultParagraphFont"/>
    <w:link w:val="Vnbnnidung40"/>
    <w:rPr>
      <w:rFonts w:ascii="Arial" w:eastAsia="Arial" w:hAnsi="Arial" w:cs="Arial"/>
      <w:b/>
      <w:bCs/>
      <w:i w:val="0"/>
      <w:iCs w:val="0"/>
      <w:smallCaps w:val="0"/>
      <w:strike w:val="0"/>
      <w:sz w:val="11"/>
      <w:szCs w:val="11"/>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color w:val="B33148"/>
      <w:sz w:val="19"/>
      <w:szCs w:val="19"/>
      <w:u w:val="none"/>
      <w:shd w:val="clear" w:color="auto" w:fill="auto"/>
    </w:rPr>
  </w:style>
  <w:style w:type="character" w:customStyle="1" w:styleId="Vnbnnidung3">
    <w:name w:val="Văn bản nội dung (3)_"/>
    <w:basedOn w:val="DefaultParagraphFont"/>
    <w:link w:val="Vnbnnidung30"/>
    <w:rPr>
      <w:rFonts w:ascii="Arial" w:eastAsia="Arial" w:hAnsi="Arial" w:cs="Arial"/>
      <w:b/>
      <w:bCs/>
      <w:i w:val="0"/>
      <w:iCs w:val="0"/>
      <w:smallCaps w:val="0"/>
      <w:strike w:val="0"/>
      <w:color w:val="B33148"/>
      <w:w w:val="50"/>
      <w:sz w:val="22"/>
      <w:szCs w:val="22"/>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shd w:val="clear" w:color="auto" w:fill="auto"/>
    </w:rPr>
  </w:style>
  <w:style w:type="paragraph" w:customStyle="1" w:styleId="Vnbnnidung60">
    <w:name w:val="Văn bản nội dung (6)"/>
    <w:basedOn w:val="Normal"/>
    <w:link w:val="Vnbnnidung6"/>
    <w:pPr>
      <w:jc w:val="center"/>
    </w:pPr>
    <w:rPr>
      <w:rFonts w:ascii="Arial" w:eastAsia="Arial" w:hAnsi="Arial" w:cs="Arial"/>
      <w:b/>
      <w:bCs/>
      <w:sz w:val="30"/>
      <w:szCs w:val="30"/>
    </w:rPr>
  </w:style>
  <w:style w:type="paragraph" w:customStyle="1" w:styleId="Vnbnnidung40">
    <w:name w:val="Văn bản nội dung (4)"/>
    <w:basedOn w:val="Normal"/>
    <w:link w:val="Vnbnnidung4"/>
    <w:pPr>
      <w:jc w:val="center"/>
    </w:pPr>
    <w:rPr>
      <w:rFonts w:ascii="Arial" w:eastAsia="Arial" w:hAnsi="Arial" w:cs="Arial"/>
      <w:b/>
      <w:bCs/>
      <w:sz w:val="11"/>
      <w:szCs w:val="11"/>
    </w:rPr>
  </w:style>
  <w:style w:type="paragraph" w:customStyle="1" w:styleId="Vnbnnidung0">
    <w:name w:val="Văn bản nội dung"/>
    <w:basedOn w:val="Normal"/>
    <w:link w:val="Vnbnnidung"/>
    <w:pPr>
      <w:spacing w:line="295" w:lineRule="auto"/>
    </w:pPr>
    <w:rPr>
      <w:rFonts w:ascii="Times New Roman" w:eastAsia="Times New Roman" w:hAnsi="Times New Roman" w:cs="Times New Roman"/>
    </w:rPr>
  </w:style>
  <w:style w:type="paragraph" w:customStyle="1" w:styleId="Vnbnnidung50">
    <w:name w:val="Văn bản nội dung (5)"/>
    <w:basedOn w:val="Normal"/>
    <w:link w:val="Vnbnnidung5"/>
    <w:rPr>
      <w:rFonts w:ascii="Arial" w:eastAsia="Arial" w:hAnsi="Arial" w:cs="Arial"/>
      <w:color w:val="B33148"/>
      <w:sz w:val="19"/>
      <w:szCs w:val="19"/>
    </w:rPr>
  </w:style>
  <w:style w:type="paragraph" w:customStyle="1" w:styleId="Vnbnnidung30">
    <w:name w:val="Văn bản nội dung (3)"/>
    <w:basedOn w:val="Normal"/>
    <w:link w:val="Vnbnnidung3"/>
    <w:rPr>
      <w:rFonts w:ascii="Arial" w:eastAsia="Arial" w:hAnsi="Arial" w:cs="Arial"/>
      <w:b/>
      <w:bCs/>
      <w:color w:val="B33148"/>
      <w:w w:val="50"/>
      <w:sz w:val="22"/>
      <w:szCs w:val="22"/>
    </w:rPr>
  </w:style>
  <w:style w:type="paragraph" w:customStyle="1" w:styleId="Vnbnnidung20">
    <w:name w:val="Văn bản nội dung (2)"/>
    <w:basedOn w:val="Normal"/>
    <w:link w:val="Vnbnnidung2"/>
    <w:pPr>
      <w:spacing w:line="254" w:lineRule="auto"/>
      <w:jc w:val="center"/>
    </w:pPr>
    <w:rPr>
      <w:rFonts w:ascii="Times New Roman" w:eastAsia="Times New Roman" w:hAnsi="Times New Roman" w:cs="Times New Roman"/>
      <w:b/>
      <w:bCs/>
      <w:sz w:val="28"/>
      <w:szCs w:val="28"/>
    </w:rPr>
  </w:style>
  <w:style w:type="paragraph" w:customStyle="1" w:styleId="Tiu10">
    <w:name w:val="Tiêu đề #1"/>
    <w:basedOn w:val="Normal"/>
    <w:link w:val="Tiu1"/>
    <w:pPr>
      <w:spacing w:line="295" w:lineRule="auto"/>
      <w:ind w:firstLine="450"/>
      <w:outlineLvl w:val="0"/>
    </w:pPr>
    <w:rPr>
      <w:rFonts w:ascii="Times New Roman" w:eastAsia="Times New Roman" w:hAnsi="Times New Roman" w:cs="Times New Roman"/>
      <w:b/>
      <w:bCs/>
    </w:rPr>
  </w:style>
  <w:style w:type="paragraph" w:customStyle="1" w:styleId="Chthchbng0">
    <w:name w:val="Chú thích bảng"/>
    <w:basedOn w:val="Normal"/>
    <w:link w:val="Chthchbng"/>
    <w:pPr>
      <w:spacing w:line="298" w:lineRule="auto"/>
      <w:ind w:left="440" w:hanging="440"/>
    </w:pPr>
    <w:rPr>
      <w:rFonts w:ascii="Times New Roman" w:eastAsia="Times New Roman" w:hAnsi="Times New Roman" w:cs="Times New Roman"/>
    </w:rPr>
  </w:style>
  <w:style w:type="paragraph" w:customStyle="1" w:styleId="Khc0">
    <w:name w:val="Khác"/>
    <w:basedOn w:val="Normal"/>
    <w:link w:val="Khc"/>
    <w:pPr>
      <w:spacing w:line="295" w:lineRule="auto"/>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x2jxUxcx+IQM5QL0TXGg2nMBRA==">CgMxLjA4AHIhMVZ0WTQyNnhJTjhLZ2FwY0l2TWczMjFIbUxSeDdnM19z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8</cp:revision>
  <dcterms:created xsi:type="dcterms:W3CDTF">2024-06-14T03:50:00Z</dcterms:created>
  <dcterms:modified xsi:type="dcterms:W3CDTF">2024-06-17T03:06:00Z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39d7c4682a39410eca146ead47525c8e71c85e1d5a3434c5eaebd61b1b4ab0dc</vt:lpwstr>
  </property>
</Properties>
</file>