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1F34" w14:textId="77777777" w:rsidR="008952A6" w:rsidRPr="002760B9" w:rsidRDefault="0017581E" w:rsidP="00C423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760B9">
        <w:rPr>
          <w:rFonts w:ascii="Arial" w:hAnsi="Arial" w:cs="Arial"/>
          <w:b/>
          <w:color w:val="010000"/>
          <w:sz w:val="20"/>
        </w:rPr>
        <w:t>PEC: Annual General Mandate 2024</w:t>
      </w:r>
    </w:p>
    <w:p w14:paraId="1153CE2F" w14:textId="77777777" w:rsidR="008952A6" w:rsidRPr="002760B9" w:rsidRDefault="0017581E" w:rsidP="00C423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On June 11, 2024, Power Engineering Joint Stock Company announced Resolution No. 11.6A/NQ-DHDCD on approving the reports and agenda items for the Annual General Meeting of Shareholders in 2024 as follows:</w:t>
      </w:r>
    </w:p>
    <w:p w14:paraId="57198EB4" w14:textId="77777777" w:rsidR="008952A6" w:rsidRPr="002760B9" w:rsidRDefault="0017581E" w:rsidP="00C423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 xml:space="preserve">‎‎Article 1. The General Meeting of Shareholders of Power Engineering Joint Stock Company has approved the annual reports and </w:t>
      </w:r>
      <w:r w:rsidR="00204343" w:rsidRPr="002760B9">
        <w:rPr>
          <w:rFonts w:ascii="Arial" w:hAnsi="Arial" w:cs="Arial"/>
          <w:color w:val="010000"/>
          <w:sz w:val="20"/>
        </w:rPr>
        <w:t>contents</w:t>
      </w:r>
      <w:r w:rsidRPr="002760B9">
        <w:rPr>
          <w:rFonts w:ascii="Arial" w:hAnsi="Arial" w:cs="Arial"/>
          <w:color w:val="010000"/>
          <w:sz w:val="20"/>
        </w:rPr>
        <w:t xml:space="preserve"> for the Annual General Meeting of Shareholders</w:t>
      </w:r>
      <w:r w:rsidR="00204343" w:rsidRPr="002760B9">
        <w:rPr>
          <w:rFonts w:ascii="Arial" w:hAnsi="Arial" w:cs="Arial"/>
          <w:color w:val="010000"/>
          <w:sz w:val="20"/>
        </w:rPr>
        <w:t xml:space="preserve"> </w:t>
      </w:r>
      <w:r w:rsidRPr="002760B9">
        <w:rPr>
          <w:rFonts w:ascii="Arial" w:hAnsi="Arial" w:cs="Arial"/>
          <w:color w:val="010000"/>
          <w:sz w:val="20"/>
        </w:rPr>
        <w:t>2024 as follows:</w:t>
      </w:r>
    </w:p>
    <w:p w14:paraId="0A8480FC" w14:textId="75E479A2" w:rsidR="008952A6" w:rsidRPr="002760B9" w:rsidRDefault="0017581E" w:rsidP="00C423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Approved the annual reports, including</w:t>
      </w:r>
      <w:r w:rsidR="00204343" w:rsidRPr="002760B9">
        <w:rPr>
          <w:rFonts w:ascii="Arial" w:hAnsi="Arial" w:cs="Arial"/>
          <w:color w:val="010000"/>
          <w:sz w:val="20"/>
        </w:rPr>
        <w:t xml:space="preserve">: the </w:t>
      </w:r>
      <w:r w:rsidRPr="002760B9">
        <w:rPr>
          <w:rFonts w:ascii="Arial" w:hAnsi="Arial" w:cs="Arial"/>
          <w:color w:val="010000"/>
          <w:sz w:val="20"/>
        </w:rPr>
        <w:t xml:space="preserve">Report </w:t>
      </w:r>
      <w:r w:rsidR="00204343" w:rsidRPr="002760B9">
        <w:rPr>
          <w:rFonts w:ascii="Arial" w:hAnsi="Arial" w:cs="Arial"/>
          <w:color w:val="010000"/>
          <w:sz w:val="20"/>
        </w:rPr>
        <w:t>of</w:t>
      </w:r>
      <w:r w:rsidRPr="002760B9">
        <w:rPr>
          <w:rFonts w:ascii="Arial" w:hAnsi="Arial" w:cs="Arial"/>
          <w:color w:val="010000"/>
          <w:sz w:val="20"/>
        </w:rPr>
        <w:t xml:space="preserve"> the Board of Management on production and business activities results </w:t>
      </w:r>
      <w:r w:rsidR="00204343" w:rsidRPr="002760B9">
        <w:rPr>
          <w:rFonts w:ascii="Arial" w:hAnsi="Arial" w:cs="Arial"/>
          <w:color w:val="010000"/>
          <w:sz w:val="20"/>
        </w:rPr>
        <w:t>in</w:t>
      </w:r>
      <w:r w:rsidRPr="002760B9">
        <w:rPr>
          <w:rFonts w:ascii="Arial" w:hAnsi="Arial" w:cs="Arial"/>
          <w:color w:val="010000"/>
          <w:sz w:val="20"/>
        </w:rPr>
        <w:t xml:space="preserve"> 2023 and </w:t>
      </w:r>
      <w:r w:rsidR="00204343" w:rsidRPr="002760B9">
        <w:rPr>
          <w:rFonts w:ascii="Arial" w:hAnsi="Arial" w:cs="Arial"/>
          <w:color w:val="010000"/>
          <w:sz w:val="20"/>
        </w:rPr>
        <w:t xml:space="preserve">the </w:t>
      </w:r>
      <w:r w:rsidRPr="002760B9">
        <w:rPr>
          <w:rFonts w:ascii="Arial" w:hAnsi="Arial" w:cs="Arial"/>
          <w:color w:val="010000"/>
          <w:sz w:val="20"/>
        </w:rPr>
        <w:t>Plan on production and business activities in 2024 (</w:t>
      </w:r>
      <w:r w:rsidR="00204343" w:rsidRPr="002760B9">
        <w:rPr>
          <w:rFonts w:ascii="Arial" w:hAnsi="Arial" w:cs="Arial"/>
          <w:color w:val="010000"/>
          <w:sz w:val="20"/>
        </w:rPr>
        <w:t xml:space="preserve">Document </w:t>
      </w:r>
      <w:r w:rsidRPr="002760B9">
        <w:rPr>
          <w:rFonts w:ascii="Arial" w:hAnsi="Arial" w:cs="Arial"/>
          <w:color w:val="010000"/>
          <w:sz w:val="20"/>
        </w:rPr>
        <w:t xml:space="preserve">No. 15.5/BC-PEC dated May 15, 2024), </w:t>
      </w:r>
      <w:r w:rsidR="00204343" w:rsidRPr="002760B9">
        <w:rPr>
          <w:rFonts w:ascii="Arial" w:hAnsi="Arial" w:cs="Arial"/>
          <w:color w:val="010000"/>
          <w:sz w:val="20"/>
        </w:rPr>
        <w:t xml:space="preserve">the </w:t>
      </w:r>
      <w:r w:rsidRPr="002760B9">
        <w:rPr>
          <w:rFonts w:ascii="Arial" w:hAnsi="Arial" w:cs="Arial"/>
          <w:color w:val="010000"/>
          <w:sz w:val="20"/>
        </w:rPr>
        <w:t xml:space="preserve">Summary of the audited Financial Statements 2023 (as of December 31, 2023), </w:t>
      </w:r>
      <w:r w:rsidR="00204343" w:rsidRPr="002760B9">
        <w:rPr>
          <w:rFonts w:ascii="Arial" w:hAnsi="Arial" w:cs="Arial"/>
          <w:color w:val="010000"/>
          <w:sz w:val="20"/>
        </w:rPr>
        <w:t xml:space="preserve">the </w:t>
      </w:r>
      <w:r w:rsidRPr="002760B9">
        <w:rPr>
          <w:rFonts w:ascii="Arial" w:hAnsi="Arial" w:cs="Arial"/>
          <w:color w:val="010000"/>
          <w:sz w:val="20"/>
        </w:rPr>
        <w:t xml:space="preserve">Report from the Board of Directors on the operational situation of 2023 and outlining tasks for 2024 (No. 15.5/BC-PEC dated May 15, 2024), and </w:t>
      </w:r>
      <w:r w:rsidR="00204343" w:rsidRPr="002760B9">
        <w:rPr>
          <w:rFonts w:ascii="Arial" w:hAnsi="Arial" w:cs="Arial"/>
          <w:color w:val="010000"/>
          <w:sz w:val="20"/>
        </w:rPr>
        <w:t xml:space="preserve">the </w:t>
      </w:r>
      <w:r w:rsidRPr="002760B9">
        <w:rPr>
          <w:rFonts w:ascii="Arial" w:hAnsi="Arial" w:cs="Arial"/>
          <w:color w:val="010000"/>
          <w:sz w:val="20"/>
        </w:rPr>
        <w:t>Repo</w:t>
      </w:r>
      <w:r w:rsidR="00204343" w:rsidRPr="002760B9">
        <w:rPr>
          <w:rFonts w:ascii="Arial" w:hAnsi="Arial" w:cs="Arial"/>
          <w:color w:val="010000"/>
          <w:sz w:val="20"/>
        </w:rPr>
        <w:t>rt from the Supervisory Board (</w:t>
      </w:r>
      <w:r w:rsidRPr="002760B9">
        <w:rPr>
          <w:rFonts w:ascii="Arial" w:hAnsi="Arial" w:cs="Arial"/>
          <w:color w:val="010000"/>
          <w:sz w:val="20"/>
        </w:rPr>
        <w:t>No. 06.6/BC-BKS dated June 6, 2024). In which:</w:t>
      </w:r>
    </w:p>
    <w:p w14:paraId="1855051D" w14:textId="77777777" w:rsidR="008952A6" w:rsidRPr="002760B9" w:rsidRDefault="0017581E" w:rsidP="00C4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Production and business results in 2023:</w:t>
      </w:r>
    </w:p>
    <w:p w14:paraId="10B1DA8B" w14:textId="04B1B181" w:rsidR="008952A6" w:rsidRPr="002760B9" w:rsidRDefault="0017581E" w:rsidP="00C4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Total revenue: VND8,087 million</w:t>
      </w:r>
    </w:p>
    <w:p w14:paraId="1219B208" w14:textId="247E2F9E" w:rsidR="008952A6" w:rsidRPr="002760B9" w:rsidRDefault="0017581E" w:rsidP="00C4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Profit before tax: VND</w:t>
      </w:r>
      <w:r w:rsidR="00181E6D" w:rsidRPr="002760B9">
        <w:rPr>
          <w:rFonts w:ascii="Arial" w:hAnsi="Arial" w:cs="Arial"/>
          <w:color w:val="010000"/>
          <w:sz w:val="20"/>
        </w:rPr>
        <w:t>-</w:t>
      </w:r>
      <w:r w:rsidRPr="002760B9">
        <w:rPr>
          <w:rFonts w:ascii="Arial" w:hAnsi="Arial" w:cs="Arial"/>
          <w:color w:val="010000"/>
          <w:sz w:val="20"/>
        </w:rPr>
        <w:t>236.9 million</w:t>
      </w:r>
    </w:p>
    <w:p w14:paraId="7ECFA4D5" w14:textId="17F58389" w:rsidR="008952A6" w:rsidRPr="002760B9" w:rsidRDefault="0017581E" w:rsidP="00C4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Average income of employee</w:t>
      </w:r>
      <w:r w:rsidR="00204343" w:rsidRPr="002760B9">
        <w:rPr>
          <w:rFonts w:ascii="Arial" w:hAnsi="Arial" w:cs="Arial"/>
          <w:color w:val="010000"/>
          <w:sz w:val="20"/>
        </w:rPr>
        <w:t>:</w:t>
      </w:r>
      <w:r w:rsidRPr="002760B9">
        <w:rPr>
          <w:rFonts w:ascii="Arial" w:hAnsi="Arial" w:cs="Arial"/>
          <w:color w:val="010000"/>
          <w:sz w:val="20"/>
        </w:rPr>
        <w:t xml:space="preserve"> VND7.15 million/month</w:t>
      </w:r>
    </w:p>
    <w:p w14:paraId="7EF38DF7" w14:textId="77777777" w:rsidR="008952A6" w:rsidRPr="002760B9" w:rsidRDefault="0017581E" w:rsidP="00C4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Key target</w:t>
      </w:r>
      <w:r w:rsidR="00204343" w:rsidRPr="002760B9">
        <w:rPr>
          <w:rFonts w:ascii="Arial" w:hAnsi="Arial" w:cs="Arial"/>
          <w:color w:val="010000"/>
          <w:sz w:val="20"/>
        </w:rPr>
        <w:t>s</w:t>
      </w:r>
      <w:r w:rsidRPr="002760B9">
        <w:rPr>
          <w:rFonts w:ascii="Arial" w:hAnsi="Arial" w:cs="Arial"/>
          <w:color w:val="010000"/>
          <w:sz w:val="20"/>
        </w:rPr>
        <w:t xml:space="preserve"> for Production and business results in 2024</w:t>
      </w:r>
    </w:p>
    <w:p w14:paraId="609A300B" w14:textId="40C3EF05" w:rsidR="008952A6" w:rsidRPr="002760B9" w:rsidRDefault="0017581E" w:rsidP="00C4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Total revenue: VND7,500 million</w:t>
      </w:r>
    </w:p>
    <w:p w14:paraId="163204D1" w14:textId="37B55AE6" w:rsidR="008952A6" w:rsidRPr="002760B9" w:rsidRDefault="0017581E" w:rsidP="00C4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Average income of employee VND7.5 million/month</w:t>
      </w:r>
    </w:p>
    <w:p w14:paraId="17EF9235" w14:textId="77777777" w:rsidR="008952A6" w:rsidRPr="002760B9" w:rsidRDefault="0017581E" w:rsidP="00C423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 xml:space="preserve">Approved </w:t>
      </w:r>
      <w:r w:rsidR="00204343" w:rsidRPr="002760B9">
        <w:rPr>
          <w:rFonts w:ascii="Arial" w:hAnsi="Arial" w:cs="Arial"/>
          <w:color w:val="010000"/>
          <w:sz w:val="20"/>
        </w:rPr>
        <w:t>contents</w:t>
      </w:r>
      <w:r w:rsidRPr="002760B9">
        <w:rPr>
          <w:rFonts w:ascii="Arial" w:hAnsi="Arial" w:cs="Arial"/>
          <w:color w:val="010000"/>
          <w:sz w:val="20"/>
        </w:rPr>
        <w:t xml:space="preserve"> for the General Meeting of Shareholders include:</w:t>
      </w:r>
    </w:p>
    <w:p w14:paraId="5CC8AB48" w14:textId="46A6DCB1" w:rsidR="008952A6" w:rsidRPr="002760B9" w:rsidRDefault="0017581E" w:rsidP="00C4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 xml:space="preserve">Approved the level of remuneration in 2024 </w:t>
      </w:r>
      <w:r w:rsidR="00204343" w:rsidRPr="002760B9">
        <w:rPr>
          <w:rFonts w:ascii="Arial" w:hAnsi="Arial" w:cs="Arial"/>
          <w:color w:val="010000"/>
          <w:sz w:val="20"/>
        </w:rPr>
        <w:t xml:space="preserve">of </w:t>
      </w:r>
      <w:r w:rsidRPr="002760B9">
        <w:rPr>
          <w:rFonts w:ascii="Arial" w:hAnsi="Arial" w:cs="Arial"/>
          <w:color w:val="010000"/>
          <w:sz w:val="20"/>
        </w:rPr>
        <w:t>Members of the Board of Directors: VND2.0</w:t>
      </w:r>
      <w:r w:rsidR="00204343" w:rsidRPr="002760B9">
        <w:rPr>
          <w:rFonts w:ascii="Arial" w:hAnsi="Arial" w:cs="Arial"/>
          <w:color w:val="010000"/>
          <w:sz w:val="20"/>
        </w:rPr>
        <w:t xml:space="preserve"> million/person/month and </w:t>
      </w:r>
      <w:r w:rsidRPr="002760B9">
        <w:rPr>
          <w:rFonts w:ascii="Arial" w:hAnsi="Arial" w:cs="Arial"/>
          <w:color w:val="010000"/>
          <w:sz w:val="20"/>
        </w:rPr>
        <w:t>Members of the Supervisory Board: VND1.0 million/person/month</w:t>
      </w:r>
    </w:p>
    <w:p w14:paraId="195FD38F" w14:textId="77777777" w:rsidR="008952A6" w:rsidRPr="002760B9" w:rsidRDefault="0017581E" w:rsidP="00C4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 xml:space="preserve">Authorize </w:t>
      </w:r>
      <w:r w:rsidR="00204343" w:rsidRPr="002760B9">
        <w:rPr>
          <w:rFonts w:ascii="Arial" w:hAnsi="Arial" w:cs="Arial"/>
          <w:color w:val="010000"/>
          <w:sz w:val="20"/>
        </w:rPr>
        <w:t>t</w:t>
      </w:r>
      <w:r w:rsidRPr="002760B9">
        <w:rPr>
          <w:rFonts w:ascii="Arial" w:hAnsi="Arial" w:cs="Arial"/>
          <w:color w:val="010000"/>
          <w:sz w:val="20"/>
        </w:rPr>
        <w:t xml:space="preserve">he Board of Directors to select </w:t>
      </w:r>
      <w:r w:rsidR="00204343" w:rsidRPr="002760B9">
        <w:rPr>
          <w:rFonts w:ascii="Arial" w:hAnsi="Arial" w:cs="Arial"/>
          <w:color w:val="010000"/>
          <w:sz w:val="20"/>
        </w:rPr>
        <w:t>an</w:t>
      </w:r>
      <w:r w:rsidRPr="002760B9">
        <w:rPr>
          <w:rFonts w:ascii="Arial" w:hAnsi="Arial" w:cs="Arial"/>
          <w:color w:val="010000"/>
          <w:sz w:val="20"/>
        </w:rPr>
        <w:t xml:space="preserve"> audit company for the Financial Statements 2024.</w:t>
      </w:r>
    </w:p>
    <w:p w14:paraId="0C43C5BB" w14:textId="77777777" w:rsidR="008952A6" w:rsidRPr="002760B9" w:rsidRDefault="0017581E" w:rsidP="00C4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 xml:space="preserve">Approve the election results for members of the Board of Directors and </w:t>
      </w:r>
      <w:r w:rsidR="00204343" w:rsidRPr="002760B9">
        <w:rPr>
          <w:rFonts w:ascii="Arial" w:hAnsi="Arial" w:cs="Arial"/>
          <w:color w:val="010000"/>
          <w:sz w:val="20"/>
        </w:rPr>
        <w:t xml:space="preserve">the </w:t>
      </w:r>
      <w:r w:rsidRPr="002760B9">
        <w:rPr>
          <w:rFonts w:ascii="Arial" w:hAnsi="Arial" w:cs="Arial"/>
          <w:color w:val="010000"/>
          <w:sz w:val="20"/>
        </w:rPr>
        <w:t>Supervisory Board for the term 2024-2029.</w:t>
      </w:r>
    </w:p>
    <w:p w14:paraId="1F0553ED" w14:textId="77777777" w:rsidR="008952A6" w:rsidRPr="002760B9" w:rsidRDefault="0017581E" w:rsidP="00C4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Election results of members for the Board of Directors for the term of 2024-2029: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1"/>
        <w:gridCol w:w="2673"/>
        <w:gridCol w:w="1675"/>
        <w:gridCol w:w="4088"/>
      </w:tblGrid>
      <w:tr w:rsidR="008952A6" w:rsidRPr="002760B9" w14:paraId="1F00257B" w14:textId="77777777" w:rsidTr="00C4236D">
        <w:tc>
          <w:tcPr>
            <w:tcW w:w="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17F65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1066E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08166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2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12549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Permanent address</w:t>
            </w:r>
          </w:p>
        </w:tc>
      </w:tr>
      <w:tr w:rsidR="008952A6" w:rsidRPr="002760B9" w14:paraId="5C0E287F" w14:textId="77777777" w:rsidTr="00C4236D">
        <w:tc>
          <w:tcPr>
            <w:tcW w:w="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AAFDB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94C09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Le Minh Hai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6C931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February 20, 1961</w:t>
            </w:r>
          </w:p>
        </w:tc>
        <w:tc>
          <w:tcPr>
            <w:tcW w:w="2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12110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Group 1, Viet Hung Ward, Long Bien District, Hanoi</w:t>
            </w:r>
          </w:p>
        </w:tc>
      </w:tr>
      <w:tr w:rsidR="008952A6" w:rsidRPr="002760B9" w14:paraId="182271C8" w14:textId="77777777" w:rsidTr="00C4236D">
        <w:tc>
          <w:tcPr>
            <w:tcW w:w="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46721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53268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Cap Duc Vuong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B9C52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September 24, 1981</w:t>
            </w:r>
          </w:p>
        </w:tc>
        <w:tc>
          <w:tcPr>
            <w:tcW w:w="2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8B5C8" w14:textId="5896A1F1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Yen Vien</w:t>
            </w:r>
            <w:r w:rsidR="00204343" w:rsidRPr="002760B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2760B9" w:rsidRPr="002760B9">
              <w:rPr>
                <w:rFonts w:ascii="Arial" w:hAnsi="Arial" w:cs="Arial"/>
                <w:color w:val="010000"/>
                <w:sz w:val="20"/>
              </w:rPr>
              <w:t>Mechanical Residential Group</w:t>
            </w:r>
            <w:r w:rsidRPr="002760B9">
              <w:rPr>
                <w:rFonts w:ascii="Arial" w:hAnsi="Arial" w:cs="Arial"/>
                <w:color w:val="010000"/>
                <w:sz w:val="20"/>
              </w:rPr>
              <w:t>, Yen Vien Commune, Gia Lam, Hanoi</w:t>
            </w:r>
          </w:p>
        </w:tc>
      </w:tr>
      <w:tr w:rsidR="008952A6" w:rsidRPr="002760B9" w14:paraId="43897371" w14:textId="77777777" w:rsidTr="00C4236D">
        <w:tc>
          <w:tcPr>
            <w:tcW w:w="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3BB00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9FBC9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Le Nam Hung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D59EA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May 23, 1993</w:t>
            </w:r>
          </w:p>
        </w:tc>
        <w:tc>
          <w:tcPr>
            <w:tcW w:w="2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F1E48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 xml:space="preserve">Group 1, Viet Hung Ward, Long Bien District, </w:t>
            </w:r>
            <w:r w:rsidRPr="002760B9">
              <w:rPr>
                <w:rFonts w:ascii="Arial" w:hAnsi="Arial" w:cs="Arial"/>
                <w:color w:val="010000"/>
                <w:sz w:val="20"/>
              </w:rPr>
              <w:lastRenderedPageBreak/>
              <w:t>Hanoi</w:t>
            </w:r>
          </w:p>
        </w:tc>
      </w:tr>
    </w:tbl>
    <w:p w14:paraId="0B1E943D" w14:textId="77777777" w:rsidR="008952A6" w:rsidRPr="002760B9" w:rsidRDefault="0017581E" w:rsidP="00C4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lastRenderedPageBreak/>
        <w:t>Results of the election of members of the Supervisory Board for the term 2024-2029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5"/>
        <w:gridCol w:w="2676"/>
        <w:gridCol w:w="1675"/>
        <w:gridCol w:w="4081"/>
      </w:tblGrid>
      <w:tr w:rsidR="008952A6" w:rsidRPr="002760B9" w14:paraId="327B8379" w14:textId="77777777" w:rsidTr="00C4236D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9A800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ED88C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656D0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2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D4F64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Permanent address</w:t>
            </w:r>
          </w:p>
        </w:tc>
      </w:tr>
      <w:tr w:rsidR="008952A6" w:rsidRPr="002760B9" w14:paraId="7A53A8FF" w14:textId="77777777" w:rsidTr="00C4236D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F921F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58EF3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Phan Thi Thu Hang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9B207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October 2, 1984</w:t>
            </w:r>
          </w:p>
        </w:tc>
        <w:tc>
          <w:tcPr>
            <w:tcW w:w="2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FA7C2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Mechanical Yen Vien Residential Group, Gia Lam District, Hanoi</w:t>
            </w:r>
          </w:p>
        </w:tc>
      </w:tr>
      <w:tr w:rsidR="008952A6" w:rsidRPr="002760B9" w14:paraId="1D113F36" w14:textId="77777777" w:rsidTr="00C4236D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73193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5C6D2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Le Thi Ngoc Thuong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927DB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February 5, 1986</w:t>
            </w:r>
          </w:p>
        </w:tc>
        <w:tc>
          <w:tcPr>
            <w:tcW w:w="2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AAD90" w14:textId="2142401A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Xu</w:t>
            </w:r>
            <w:r w:rsidR="002760B9" w:rsidRPr="002760B9">
              <w:rPr>
                <w:rFonts w:ascii="Arial" w:hAnsi="Arial" w:cs="Arial"/>
                <w:color w:val="010000"/>
                <w:sz w:val="20"/>
              </w:rPr>
              <w:t>a</w:t>
            </w:r>
            <w:r w:rsidRPr="002760B9">
              <w:rPr>
                <w:rFonts w:ascii="Arial" w:hAnsi="Arial" w:cs="Arial"/>
                <w:color w:val="010000"/>
                <w:sz w:val="20"/>
              </w:rPr>
              <w:t>n Nam Block, H</w:t>
            </w:r>
            <w:r w:rsidR="002760B9" w:rsidRPr="002760B9">
              <w:rPr>
                <w:rFonts w:ascii="Arial" w:hAnsi="Arial" w:cs="Arial"/>
                <w:color w:val="010000"/>
                <w:sz w:val="20"/>
              </w:rPr>
              <w:t>u</w:t>
            </w:r>
            <w:r w:rsidRPr="002760B9">
              <w:rPr>
                <w:rFonts w:ascii="Arial" w:hAnsi="Arial" w:cs="Arial"/>
                <w:color w:val="010000"/>
                <w:sz w:val="20"/>
              </w:rPr>
              <w:t xml:space="preserve">ng </w:t>
            </w:r>
            <w:r w:rsidR="002760B9" w:rsidRPr="002760B9">
              <w:rPr>
                <w:rFonts w:ascii="Arial" w:hAnsi="Arial" w:cs="Arial"/>
                <w:color w:val="010000"/>
                <w:sz w:val="20"/>
              </w:rPr>
              <w:t>Du</w:t>
            </w:r>
            <w:r w:rsidRPr="002760B9">
              <w:rPr>
                <w:rFonts w:ascii="Arial" w:hAnsi="Arial" w:cs="Arial"/>
                <w:color w:val="010000"/>
                <w:sz w:val="20"/>
              </w:rPr>
              <w:t>ng Ward</w:t>
            </w:r>
            <w:r w:rsidR="00315899" w:rsidRPr="002760B9">
              <w:rPr>
                <w:rFonts w:ascii="Arial" w:hAnsi="Arial" w:cs="Arial"/>
                <w:color w:val="010000"/>
                <w:sz w:val="20"/>
              </w:rPr>
              <w:t>,</w:t>
            </w:r>
            <w:r w:rsidRPr="002760B9">
              <w:rPr>
                <w:rFonts w:ascii="Arial" w:hAnsi="Arial" w:cs="Arial"/>
                <w:color w:val="010000"/>
                <w:sz w:val="20"/>
              </w:rPr>
              <w:t xml:space="preserve"> Vinh</w:t>
            </w:r>
            <w:r w:rsidR="00315899" w:rsidRPr="002760B9">
              <w:rPr>
                <w:rFonts w:ascii="Arial" w:hAnsi="Arial" w:cs="Arial"/>
                <w:color w:val="010000"/>
                <w:sz w:val="20"/>
              </w:rPr>
              <w:t xml:space="preserve"> City</w:t>
            </w:r>
            <w:r w:rsidRPr="002760B9">
              <w:rPr>
                <w:rFonts w:ascii="Arial" w:hAnsi="Arial" w:cs="Arial"/>
                <w:color w:val="010000"/>
                <w:sz w:val="20"/>
              </w:rPr>
              <w:t>, Nghe An Province</w:t>
            </w:r>
          </w:p>
        </w:tc>
      </w:tr>
      <w:tr w:rsidR="008952A6" w:rsidRPr="002760B9" w14:paraId="3FC5C408" w14:textId="77777777" w:rsidTr="00C4236D">
        <w:tc>
          <w:tcPr>
            <w:tcW w:w="3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2C28D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E5D16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Phan Thi Nguyet Nga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5E1DF" w14:textId="77777777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>September 4, 1982</w:t>
            </w:r>
          </w:p>
        </w:tc>
        <w:tc>
          <w:tcPr>
            <w:tcW w:w="22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6E96D" w14:textId="5C7C77C6" w:rsidR="008952A6" w:rsidRPr="002760B9" w:rsidRDefault="0017581E" w:rsidP="00C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760B9">
              <w:rPr>
                <w:rFonts w:ascii="Arial" w:hAnsi="Arial" w:cs="Arial"/>
                <w:color w:val="010000"/>
                <w:sz w:val="20"/>
              </w:rPr>
              <w:t xml:space="preserve">Yen Vien </w:t>
            </w:r>
            <w:r w:rsidR="002760B9" w:rsidRPr="002760B9">
              <w:rPr>
                <w:rFonts w:ascii="Arial" w:hAnsi="Arial" w:cs="Arial"/>
                <w:color w:val="010000"/>
                <w:sz w:val="20"/>
              </w:rPr>
              <w:t xml:space="preserve">Mechanical </w:t>
            </w:r>
            <w:r w:rsidRPr="002760B9">
              <w:rPr>
                <w:rFonts w:ascii="Arial" w:hAnsi="Arial" w:cs="Arial"/>
                <w:color w:val="010000"/>
                <w:sz w:val="20"/>
              </w:rPr>
              <w:t>Residential Group, Gia Lam District, Hanoi</w:t>
            </w:r>
          </w:p>
        </w:tc>
      </w:tr>
    </w:tbl>
    <w:p w14:paraId="20FE31B0" w14:textId="77777777" w:rsidR="008952A6" w:rsidRPr="002760B9" w:rsidRDefault="0017581E" w:rsidP="00C423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‎‎Article 2. The General Mandate was approved by the General Meeting of Shareholders on June 11, 2024.</w:t>
      </w:r>
    </w:p>
    <w:p w14:paraId="52C4EB0D" w14:textId="77777777" w:rsidR="008952A6" w:rsidRPr="002760B9" w:rsidRDefault="0017581E" w:rsidP="00C4236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60B9">
        <w:rPr>
          <w:rFonts w:ascii="Arial" w:hAnsi="Arial" w:cs="Arial"/>
          <w:color w:val="010000"/>
          <w:sz w:val="20"/>
        </w:rPr>
        <w:t>‎‎Article 3. The Board of Directors of Power Engineering Joint Stock Company is responsible for implementing this General Mandate.</w:t>
      </w:r>
    </w:p>
    <w:sectPr w:rsidR="008952A6" w:rsidRPr="002760B9" w:rsidSect="00C4236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B35E9"/>
    <w:multiLevelType w:val="multilevel"/>
    <w:tmpl w:val="EDCC552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2F7586"/>
    <w:multiLevelType w:val="multilevel"/>
    <w:tmpl w:val="EEC0BE0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2C33C31"/>
    <w:multiLevelType w:val="multilevel"/>
    <w:tmpl w:val="BF16260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  <w:i/>
      </w:rPr>
    </w:lvl>
  </w:abstractNum>
  <w:abstractNum w:abstractNumId="3">
    <w:nsid w:val="7BC04BF5"/>
    <w:multiLevelType w:val="multilevel"/>
    <w:tmpl w:val="E19E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A6"/>
    <w:rsid w:val="00010937"/>
    <w:rsid w:val="000A28AC"/>
    <w:rsid w:val="0017581E"/>
    <w:rsid w:val="00181E6D"/>
    <w:rsid w:val="00204343"/>
    <w:rsid w:val="002760B9"/>
    <w:rsid w:val="00315899"/>
    <w:rsid w:val="00394B47"/>
    <w:rsid w:val="008952A6"/>
    <w:rsid w:val="008B0588"/>
    <w:rsid w:val="00C4236D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BBE93"/>
  <w15:docId w15:val="{580CD525-AA5A-4FBC-B3FB-D0096236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color w:val="821723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66" w:lineRule="auto"/>
      <w:jc w:val="right"/>
    </w:pPr>
    <w:rPr>
      <w:rFonts w:ascii="Arial" w:eastAsia="Arial" w:hAnsi="Arial" w:cs="Arial"/>
      <w:smallCaps/>
      <w:color w:val="821723"/>
    </w:rPr>
  </w:style>
  <w:style w:type="paragraph" w:customStyle="1" w:styleId="Vnbnnidung0">
    <w:name w:val="Văn bản nội dung"/>
    <w:basedOn w:val="Normal"/>
    <w:link w:val="Vnbnnidung"/>
    <w:pPr>
      <w:ind w:firstLine="24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ind w:firstLine="340"/>
    </w:pPr>
    <w:rPr>
      <w:rFonts w:ascii="Arial" w:eastAsia="Arial" w:hAnsi="Arial" w:cs="Arial"/>
      <w:sz w:val="20"/>
      <w:szCs w:val="20"/>
    </w:rPr>
  </w:style>
  <w:style w:type="paragraph" w:customStyle="1" w:styleId="Tiu10">
    <w:name w:val="Tiêu đề #1"/>
    <w:basedOn w:val="Normal"/>
    <w:link w:val="Tiu1"/>
    <w:pPr>
      <w:ind w:left="3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spacing w:line="223" w:lineRule="auto"/>
      <w:ind w:firstLine="7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ind w:firstLine="24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BdGtVyzRoQtSx09eBs9H76Pfsw==">CgMxLjA4AHIhMWtud1l1VlpaTEpuRGFqdi1xZU92QWZxamxOd2Z5WmRm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2024-06-18T03:57:00Z</dcterms:created>
  <dcterms:modified xsi:type="dcterms:W3CDTF">2024-06-18T03:57:00Z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68eecedbcaed1b2a970a298d9ec5a8e67656986739cc464660b694f6d92729b9</vt:lpwstr>
  </property>
</Properties>
</file>