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8EAAF" w14:textId="77777777" w:rsidR="0090704A" w:rsidRPr="00D6259D" w:rsidRDefault="00240323" w:rsidP="0018699B">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D6259D">
        <w:rPr>
          <w:rFonts w:ascii="Arial" w:hAnsi="Arial" w:cs="Arial"/>
          <w:b/>
          <w:bCs/>
          <w:color w:val="010000"/>
          <w:sz w:val="20"/>
        </w:rPr>
        <w:t>CE1:</w:t>
      </w:r>
      <w:r w:rsidRPr="00D6259D">
        <w:rPr>
          <w:rFonts w:ascii="Arial" w:hAnsi="Arial" w:cs="Arial"/>
          <w:b/>
          <w:color w:val="010000"/>
          <w:sz w:val="20"/>
        </w:rPr>
        <w:t xml:space="preserve"> Annual General Mandate 2024</w:t>
      </w:r>
    </w:p>
    <w:p w14:paraId="45904106" w14:textId="77777777" w:rsidR="0090704A" w:rsidRPr="00D6259D" w:rsidRDefault="00240323" w:rsidP="001869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On June 11, 2024, Construction And Industry Equipment Joint Stock Company - CIE1 announced General Mandate No. 02/2024/NQ-DHDCD as follows:</w:t>
      </w:r>
    </w:p>
    <w:p w14:paraId="4A1B49FD" w14:textId="77777777" w:rsidR="0090704A" w:rsidRPr="00D6259D" w:rsidRDefault="00240323" w:rsidP="001869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‎‎Article 1. Approve:</w:t>
      </w:r>
    </w:p>
    <w:p w14:paraId="13F23B57" w14:textId="77777777" w:rsidR="0090704A" w:rsidRPr="00D6259D" w:rsidRDefault="00240323" w:rsidP="0018699B">
      <w:pPr>
        <w:numPr>
          <w:ilvl w:val="0"/>
          <w:numId w:val="7"/>
        </w:num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The Report on activities and production and business results in 2023; the plan on activities and production and business for 2024</w:t>
      </w:r>
      <w:r w:rsidR="00FF080B" w:rsidRPr="00D6259D">
        <w:rPr>
          <w:rFonts w:ascii="Arial" w:hAnsi="Arial" w:cs="Arial"/>
          <w:color w:val="010000"/>
          <w:sz w:val="20"/>
        </w:rPr>
        <w:t xml:space="preserve"> of the General Manager.</w:t>
      </w:r>
    </w:p>
    <w:p w14:paraId="4EDB3692" w14:textId="77777777" w:rsidR="0090704A" w:rsidRPr="00D6259D" w:rsidRDefault="00240323"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Production and business results in 2023:</w:t>
      </w:r>
    </w:p>
    <w:p w14:paraId="4AC96132" w14:textId="77777777" w:rsidR="0090704A" w:rsidRPr="00D6259D" w:rsidRDefault="00FF080B" w:rsidP="0018699B">
      <w:pPr>
        <w:pBdr>
          <w:top w:val="nil"/>
          <w:left w:val="nil"/>
          <w:bottom w:val="nil"/>
          <w:right w:val="nil"/>
          <w:between w:val="nil"/>
        </w:pBdr>
        <w:tabs>
          <w:tab w:val="left" w:pos="363"/>
          <w:tab w:val="left" w:pos="432"/>
        </w:tabs>
        <w:spacing w:after="120" w:line="360" w:lineRule="auto"/>
        <w:jc w:val="right"/>
        <w:rPr>
          <w:rFonts w:ascii="Arial" w:eastAsia="Arial" w:hAnsi="Arial" w:cs="Arial"/>
          <w:color w:val="010000"/>
          <w:sz w:val="20"/>
          <w:szCs w:val="20"/>
        </w:rPr>
      </w:pPr>
      <w:r w:rsidRPr="00D6259D">
        <w:rPr>
          <w:rFonts w:ascii="Arial" w:hAnsi="Arial" w:cs="Arial"/>
          <w:color w:val="010000"/>
          <w:sz w:val="20"/>
        </w:rPr>
        <w:t xml:space="preserve">Unit: </w:t>
      </w:r>
      <w:r w:rsidR="00240323" w:rsidRPr="00D6259D">
        <w:rPr>
          <w:rFonts w:ascii="Arial" w:hAnsi="Arial" w:cs="Arial"/>
          <w:color w:val="010000"/>
          <w:sz w:val="20"/>
        </w:rPr>
        <w:t>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83"/>
        <w:gridCol w:w="3491"/>
        <w:gridCol w:w="1764"/>
        <w:gridCol w:w="1736"/>
        <w:gridCol w:w="1242"/>
      </w:tblGrid>
      <w:tr w:rsidR="0090704A" w:rsidRPr="00D6259D" w14:paraId="242DE154" w14:textId="77777777" w:rsidTr="0018699B">
        <w:tc>
          <w:tcPr>
            <w:tcW w:w="434" w:type="pct"/>
            <w:shd w:val="clear" w:color="auto" w:fill="auto"/>
            <w:tcMar>
              <w:top w:w="0" w:type="dxa"/>
              <w:bottom w:w="0" w:type="dxa"/>
            </w:tcMar>
            <w:vAlign w:val="center"/>
          </w:tcPr>
          <w:p w14:paraId="2AA2930E" w14:textId="77777777" w:rsidR="0090704A" w:rsidRPr="00D6259D" w:rsidRDefault="00240323"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No.</w:t>
            </w:r>
          </w:p>
        </w:tc>
        <w:tc>
          <w:tcPr>
            <w:tcW w:w="1936" w:type="pct"/>
            <w:shd w:val="clear" w:color="auto" w:fill="auto"/>
            <w:tcMar>
              <w:top w:w="0" w:type="dxa"/>
              <w:bottom w:w="0" w:type="dxa"/>
            </w:tcMar>
            <w:vAlign w:val="center"/>
          </w:tcPr>
          <w:p w14:paraId="39F05C66" w14:textId="77777777" w:rsidR="0090704A" w:rsidRPr="00D6259D" w:rsidRDefault="00240323"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Production and business targets</w:t>
            </w:r>
          </w:p>
        </w:tc>
        <w:tc>
          <w:tcPr>
            <w:tcW w:w="978" w:type="pct"/>
            <w:shd w:val="clear" w:color="auto" w:fill="auto"/>
            <w:tcMar>
              <w:top w:w="0" w:type="dxa"/>
              <w:bottom w:w="0" w:type="dxa"/>
            </w:tcMar>
            <w:vAlign w:val="center"/>
          </w:tcPr>
          <w:p w14:paraId="55158680" w14:textId="77777777" w:rsidR="0090704A" w:rsidRPr="00D6259D" w:rsidRDefault="00240323"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Results</w:t>
            </w:r>
            <w:r w:rsidR="00FF080B" w:rsidRPr="00D6259D">
              <w:rPr>
                <w:rFonts w:ascii="Arial" w:eastAsia="Arial" w:hAnsi="Arial" w:cs="Arial"/>
                <w:color w:val="010000"/>
                <w:sz w:val="20"/>
                <w:szCs w:val="20"/>
              </w:rPr>
              <w:t xml:space="preserve"> </w:t>
            </w:r>
            <w:r w:rsidRPr="00D6259D">
              <w:rPr>
                <w:rFonts w:ascii="Arial" w:hAnsi="Arial" w:cs="Arial"/>
                <w:color w:val="010000"/>
                <w:sz w:val="20"/>
              </w:rPr>
              <w:t>2023</w:t>
            </w:r>
          </w:p>
        </w:tc>
        <w:tc>
          <w:tcPr>
            <w:tcW w:w="963" w:type="pct"/>
            <w:shd w:val="clear" w:color="auto" w:fill="auto"/>
            <w:tcMar>
              <w:top w:w="0" w:type="dxa"/>
              <w:bottom w:w="0" w:type="dxa"/>
            </w:tcMar>
            <w:vAlign w:val="center"/>
          </w:tcPr>
          <w:p w14:paraId="35D5C759" w14:textId="77777777" w:rsidR="0090704A" w:rsidRPr="00D6259D" w:rsidRDefault="00240323"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General Mandate 2023</w:t>
            </w:r>
          </w:p>
          <w:p w14:paraId="654D7BEB" w14:textId="77777777" w:rsidR="0090704A" w:rsidRPr="00D6259D" w:rsidRDefault="0090704A"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p>
        </w:tc>
        <w:tc>
          <w:tcPr>
            <w:tcW w:w="689" w:type="pct"/>
            <w:shd w:val="clear" w:color="auto" w:fill="auto"/>
            <w:tcMar>
              <w:top w:w="0" w:type="dxa"/>
              <w:bottom w:w="0" w:type="dxa"/>
            </w:tcMar>
            <w:vAlign w:val="center"/>
          </w:tcPr>
          <w:p w14:paraId="6897D75C" w14:textId="77777777" w:rsidR="0090704A" w:rsidRPr="00D6259D" w:rsidRDefault="00FF080B"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Results</w:t>
            </w:r>
            <w:r w:rsidR="00240323" w:rsidRPr="00D6259D">
              <w:rPr>
                <w:rFonts w:ascii="Arial" w:hAnsi="Arial" w:cs="Arial"/>
                <w:color w:val="010000"/>
                <w:sz w:val="20"/>
              </w:rPr>
              <w:t xml:space="preserve"> rate of the General Mandate 2023</w:t>
            </w:r>
          </w:p>
        </w:tc>
      </w:tr>
      <w:tr w:rsidR="0090704A" w:rsidRPr="00D6259D" w14:paraId="1D9F5514" w14:textId="77777777" w:rsidTr="0018699B">
        <w:tc>
          <w:tcPr>
            <w:tcW w:w="434" w:type="pct"/>
            <w:shd w:val="clear" w:color="auto" w:fill="auto"/>
            <w:tcMar>
              <w:top w:w="0" w:type="dxa"/>
              <w:bottom w:w="0" w:type="dxa"/>
            </w:tcMar>
            <w:vAlign w:val="center"/>
          </w:tcPr>
          <w:p w14:paraId="0F2A257E" w14:textId="77777777" w:rsidR="0090704A" w:rsidRPr="00D6259D" w:rsidRDefault="00240323"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1</w:t>
            </w:r>
          </w:p>
        </w:tc>
        <w:tc>
          <w:tcPr>
            <w:tcW w:w="1936" w:type="pct"/>
            <w:shd w:val="clear" w:color="auto" w:fill="auto"/>
            <w:tcMar>
              <w:top w:w="0" w:type="dxa"/>
              <w:bottom w:w="0" w:type="dxa"/>
            </w:tcMar>
            <w:vAlign w:val="center"/>
          </w:tcPr>
          <w:p w14:paraId="5EECFB4F" w14:textId="77777777" w:rsidR="0090704A" w:rsidRPr="00D6259D" w:rsidRDefault="00240323"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Total revenue and income</w:t>
            </w:r>
          </w:p>
        </w:tc>
        <w:tc>
          <w:tcPr>
            <w:tcW w:w="978" w:type="pct"/>
            <w:shd w:val="clear" w:color="auto" w:fill="auto"/>
            <w:tcMar>
              <w:top w:w="0" w:type="dxa"/>
              <w:bottom w:w="0" w:type="dxa"/>
            </w:tcMar>
            <w:vAlign w:val="center"/>
          </w:tcPr>
          <w:p w14:paraId="4471E9CE" w14:textId="77777777" w:rsidR="0090704A" w:rsidRPr="00D6259D" w:rsidRDefault="00240323"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96,360,812,467</w:t>
            </w:r>
          </w:p>
        </w:tc>
        <w:tc>
          <w:tcPr>
            <w:tcW w:w="963" w:type="pct"/>
            <w:shd w:val="clear" w:color="auto" w:fill="auto"/>
            <w:tcMar>
              <w:top w:w="0" w:type="dxa"/>
              <w:bottom w:w="0" w:type="dxa"/>
            </w:tcMar>
            <w:vAlign w:val="center"/>
          </w:tcPr>
          <w:p w14:paraId="61235116" w14:textId="77777777" w:rsidR="0090704A" w:rsidRPr="00D6259D" w:rsidRDefault="0090704A"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p>
        </w:tc>
        <w:tc>
          <w:tcPr>
            <w:tcW w:w="689" w:type="pct"/>
            <w:shd w:val="clear" w:color="auto" w:fill="auto"/>
            <w:tcMar>
              <w:top w:w="0" w:type="dxa"/>
              <w:bottom w:w="0" w:type="dxa"/>
            </w:tcMar>
            <w:vAlign w:val="center"/>
          </w:tcPr>
          <w:p w14:paraId="22EA9D40" w14:textId="77777777" w:rsidR="0090704A" w:rsidRPr="00D6259D" w:rsidRDefault="0090704A"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p>
        </w:tc>
      </w:tr>
      <w:tr w:rsidR="0090704A" w:rsidRPr="00D6259D" w14:paraId="2AA44903" w14:textId="77777777" w:rsidTr="0018699B">
        <w:tc>
          <w:tcPr>
            <w:tcW w:w="434" w:type="pct"/>
            <w:vMerge w:val="restart"/>
            <w:shd w:val="clear" w:color="auto" w:fill="auto"/>
            <w:tcMar>
              <w:top w:w="0" w:type="dxa"/>
              <w:bottom w:w="0" w:type="dxa"/>
            </w:tcMar>
            <w:vAlign w:val="center"/>
          </w:tcPr>
          <w:p w14:paraId="048F95EB" w14:textId="77777777" w:rsidR="0090704A" w:rsidRPr="00D6259D" w:rsidRDefault="00240323"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In which:</w:t>
            </w:r>
          </w:p>
        </w:tc>
        <w:tc>
          <w:tcPr>
            <w:tcW w:w="1936" w:type="pct"/>
            <w:shd w:val="clear" w:color="auto" w:fill="auto"/>
            <w:tcMar>
              <w:top w:w="0" w:type="dxa"/>
              <w:bottom w:w="0" w:type="dxa"/>
            </w:tcMar>
            <w:vAlign w:val="center"/>
          </w:tcPr>
          <w:p w14:paraId="13770DF3" w14:textId="77777777" w:rsidR="0090704A" w:rsidRPr="00D6259D" w:rsidRDefault="00240323" w:rsidP="0018699B">
            <w:pPr>
              <w:pStyle w:val="ListParagraph"/>
              <w:numPr>
                <w:ilvl w:val="0"/>
                <w:numId w:val="8"/>
              </w:numPr>
              <w:pBdr>
                <w:top w:val="nil"/>
                <w:left w:val="nil"/>
                <w:bottom w:val="nil"/>
                <w:right w:val="nil"/>
                <w:between w:val="nil"/>
              </w:pBdr>
              <w:tabs>
                <w:tab w:val="left" w:pos="363"/>
                <w:tab w:val="left" w:pos="432"/>
              </w:tabs>
              <w:spacing w:after="120" w:line="360" w:lineRule="auto"/>
              <w:contextualSpacing w:val="0"/>
              <w:rPr>
                <w:rFonts w:ascii="Arial" w:eastAsia="Arial" w:hAnsi="Arial" w:cs="Arial"/>
                <w:color w:val="010000"/>
                <w:sz w:val="20"/>
                <w:szCs w:val="20"/>
              </w:rPr>
            </w:pPr>
            <w:r w:rsidRPr="00D6259D">
              <w:rPr>
                <w:rFonts w:ascii="Arial" w:hAnsi="Arial" w:cs="Arial"/>
                <w:color w:val="010000"/>
                <w:sz w:val="20"/>
              </w:rPr>
              <w:t>Revenue from goods sales and service provision</w:t>
            </w:r>
          </w:p>
          <w:p w14:paraId="595ED1E2" w14:textId="77777777" w:rsidR="0090704A" w:rsidRPr="00D6259D" w:rsidRDefault="00240323" w:rsidP="0018699B">
            <w:pPr>
              <w:numPr>
                <w:ilvl w:val="0"/>
                <w:numId w:val="5"/>
              </w:num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 xml:space="preserve">Revenue </w:t>
            </w:r>
            <w:r w:rsidR="00FF080B" w:rsidRPr="00D6259D">
              <w:rPr>
                <w:rFonts w:ascii="Arial" w:hAnsi="Arial" w:cs="Arial"/>
                <w:color w:val="010000"/>
                <w:sz w:val="20"/>
              </w:rPr>
              <w:t>from</w:t>
            </w:r>
            <w:r w:rsidRPr="00D6259D">
              <w:rPr>
                <w:rFonts w:ascii="Arial" w:hAnsi="Arial" w:cs="Arial"/>
                <w:color w:val="010000"/>
                <w:sz w:val="20"/>
              </w:rPr>
              <w:t xml:space="preserve"> concrete mixing plant</w:t>
            </w:r>
          </w:p>
          <w:p w14:paraId="25A6A431" w14:textId="77777777" w:rsidR="0090704A" w:rsidRPr="00D6259D" w:rsidRDefault="00FF080B" w:rsidP="0018699B">
            <w:pPr>
              <w:numPr>
                <w:ilvl w:val="0"/>
                <w:numId w:val="5"/>
              </w:num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 xml:space="preserve">Revenue from case + </w:t>
            </w:r>
            <w:r w:rsidR="00E420B8" w:rsidRPr="00D6259D">
              <w:rPr>
                <w:rFonts w:ascii="Arial" w:hAnsi="Arial" w:cs="Arial"/>
                <w:color w:val="010000"/>
                <w:sz w:val="20"/>
              </w:rPr>
              <w:t>core kit</w:t>
            </w:r>
            <w:r w:rsidRPr="00D6259D">
              <w:rPr>
                <w:rFonts w:ascii="Arial" w:hAnsi="Arial" w:cs="Arial"/>
                <w:color w:val="010000"/>
                <w:sz w:val="20"/>
              </w:rPr>
              <w:t xml:space="preserve"> HEVN</w:t>
            </w:r>
          </w:p>
          <w:p w14:paraId="04F5C485" w14:textId="77777777" w:rsidR="0090704A" w:rsidRPr="00D6259D" w:rsidRDefault="00FF080B" w:rsidP="0018699B">
            <w:pPr>
              <w:numPr>
                <w:ilvl w:val="0"/>
                <w:numId w:val="5"/>
              </w:num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Revenue from Japanese export</w:t>
            </w:r>
          </w:p>
          <w:p w14:paraId="6380D830" w14:textId="77777777" w:rsidR="0090704A" w:rsidRPr="00D6259D" w:rsidRDefault="00FF080B" w:rsidP="0018699B">
            <w:pPr>
              <w:pStyle w:val="ListParagraph"/>
              <w:numPr>
                <w:ilvl w:val="0"/>
                <w:numId w:val="5"/>
              </w:numPr>
              <w:pBdr>
                <w:top w:val="nil"/>
                <w:left w:val="nil"/>
                <w:bottom w:val="nil"/>
                <w:right w:val="nil"/>
                <w:between w:val="nil"/>
              </w:pBdr>
              <w:tabs>
                <w:tab w:val="left" w:pos="363"/>
                <w:tab w:val="left" w:pos="432"/>
              </w:tabs>
              <w:spacing w:after="120" w:line="360" w:lineRule="auto"/>
              <w:contextualSpacing w:val="0"/>
              <w:rPr>
                <w:rFonts w:ascii="Arial" w:eastAsia="Arial" w:hAnsi="Arial" w:cs="Arial"/>
                <w:color w:val="010000"/>
                <w:sz w:val="20"/>
                <w:szCs w:val="20"/>
              </w:rPr>
            </w:pPr>
            <w:r w:rsidRPr="00D6259D">
              <w:rPr>
                <w:rFonts w:ascii="Arial" w:hAnsi="Arial" w:cs="Arial"/>
                <w:color w:val="010000"/>
                <w:sz w:val="20"/>
              </w:rPr>
              <w:t>Revenue from service and retail</w:t>
            </w:r>
          </w:p>
        </w:tc>
        <w:tc>
          <w:tcPr>
            <w:tcW w:w="978" w:type="pct"/>
            <w:shd w:val="clear" w:color="auto" w:fill="auto"/>
            <w:tcMar>
              <w:top w:w="0" w:type="dxa"/>
              <w:bottom w:w="0" w:type="dxa"/>
            </w:tcMar>
            <w:vAlign w:val="center"/>
          </w:tcPr>
          <w:p w14:paraId="60F29A47" w14:textId="77777777" w:rsidR="0090704A" w:rsidRPr="00D6259D" w:rsidRDefault="00240323"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95,949,767,038</w:t>
            </w:r>
          </w:p>
          <w:p w14:paraId="561584C3" w14:textId="77777777" w:rsidR="0090704A" w:rsidRPr="00D6259D" w:rsidRDefault="00FF080B"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br/>
            </w:r>
            <w:r w:rsidR="00240323" w:rsidRPr="00D6259D">
              <w:rPr>
                <w:rFonts w:ascii="Arial" w:hAnsi="Arial" w:cs="Arial"/>
                <w:color w:val="010000"/>
                <w:sz w:val="20"/>
              </w:rPr>
              <w:t>54,779,822,107</w:t>
            </w:r>
          </w:p>
          <w:p w14:paraId="1293070E" w14:textId="77777777" w:rsidR="0090704A" w:rsidRPr="00D6259D" w:rsidRDefault="00FF080B"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br/>
            </w:r>
            <w:r w:rsidR="00240323" w:rsidRPr="00D6259D">
              <w:rPr>
                <w:rFonts w:ascii="Arial" w:hAnsi="Arial" w:cs="Arial"/>
                <w:color w:val="010000"/>
                <w:sz w:val="20"/>
              </w:rPr>
              <w:t>11,549,175,767</w:t>
            </w:r>
          </w:p>
          <w:p w14:paraId="2D82723D" w14:textId="77777777" w:rsidR="0090704A" w:rsidRPr="00D6259D" w:rsidRDefault="00FF080B"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br/>
            </w:r>
            <w:r w:rsidR="00240323" w:rsidRPr="00D6259D">
              <w:rPr>
                <w:rFonts w:ascii="Arial" w:hAnsi="Arial" w:cs="Arial"/>
                <w:color w:val="010000"/>
                <w:sz w:val="20"/>
              </w:rPr>
              <w:t>13,059,403,929</w:t>
            </w:r>
          </w:p>
          <w:p w14:paraId="006552F3" w14:textId="77777777" w:rsidR="0090704A" w:rsidRPr="00D6259D" w:rsidRDefault="00240323"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16,561,365,235</w:t>
            </w:r>
          </w:p>
        </w:tc>
        <w:tc>
          <w:tcPr>
            <w:tcW w:w="963" w:type="pct"/>
            <w:shd w:val="clear" w:color="auto" w:fill="auto"/>
            <w:tcMar>
              <w:top w:w="0" w:type="dxa"/>
              <w:bottom w:w="0" w:type="dxa"/>
            </w:tcMar>
            <w:vAlign w:val="center"/>
          </w:tcPr>
          <w:p w14:paraId="4A2BDE03" w14:textId="77777777" w:rsidR="0090704A" w:rsidRPr="00D6259D" w:rsidRDefault="00240323"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135,000,000,000</w:t>
            </w:r>
          </w:p>
        </w:tc>
        <w:tc>
          <w:tcPr>
            <w:tcW w:w="689" w:type="pct"/>
            <w:shd w:val="clear" w:color="auto" w:fill="auto"/>
            <w:tcMar>
              <w:top w:w="0" w:type="dxa"/>
              <w:bottom w:w="0" w:type="dxa"/>
            </w:tcMar>
            <w:vAlign w:val="center"/>
          </w:tcPr>
          <w:p w14:paraId="0FF0F99A" w14:textId="77777777" w:rsidR="0090704A" w:rsidRPr="00D6259D" w:rsidRDefault="00240323"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71.07%</w:t>
            </w:r>
          </w:p>
        </w:tc>
      </w:tr>
      <w:tr w:rsidR="0090704A" w:rsidRPr="00D6259D" w14:paraId="03FB2FF3" w14:textId="77777777" w:rsidTr="0018699B">
        <w:tc>
          <w:tcPr>
            <w:tcW w:w="434" w:type="pct"/>
            <w:vMerge/>
            <w:shd w:val="clear" w:color="auto" w:fill="auto"/>
            <w:tcMar>
              <w:top w:w="0" w:type="dxa"/>
              <w:bottom w:w="0" w:type="dxa"/>
            </w:tcMar>
            <w:vAlign w:val="center"/>
          </w:tcPr>
          <w:p w14:paraId="7B91B72D" w14:textId="77777777" w:rsidR="0090704A" w:rsidRPr="00D6259D" w:rsidRDefault="0090704A" w:rsidP="001869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936" w:type="pct"/>
            <w:shd w:val="clear" w:color="auto" w:fill="auto"/>
            <w:tcMar>
              <w:top w:w="0" w:type="dxa"/>
              <w:bottom w:w="0" w:type="dxa"/>
            </w:tcMar>
            <w:vAlign w:val="center"/>
          </w:tcPr>
          <w:p w14:paraId="202D374E" w14:textId="77777777" w:rsidR="0090704A" w:rsidRPr="00D6259D" w:rsidRDefault="00240323" w:rsidP="0018699B">
            <w:pPr>
              <w:pStyle w:val="ListParagraph"/>
              <w:numPr>
                <w:ilvl w:val="0"/>
                <w:numId w:val="10"/>
              </w:numPr>
              <w:pBdr>
                <w:top w:val="nil"/>
                <w:left w:val="nil"/>
                <w:bottom w:val="nil"/>
                <w:right w:val="nil"/>
                <w:between w:val="nil"/>
              </w:pBdr>
              <w:tabs>
                <w:tab w:val="left" w:pos="363"/>
                <w:tab w:val="left" w:pos="432"/>
              </w:tabs>
              <w:spacing w:after="120" w:line="360" w:lineRule="auto"/>
              <w:contextualSpacing w:val="0"/>
              <w:rPr>
                <w:rFonts w:ascii="Arial" w:eastAsia="Arial" w:hAnsi="Arial" w:cs="Arial"/>
                <w:color w:val="010000"/>
                <w:sz w:val="20"/>
                <w:szCs w:val="20"/>
              </w:rPr>
            </w:pPr>
            <w:r w:rsidRPr="00D6259D">
              <w:rPr>
                <w:rFonts w:ascii="Arial" w:hAnsi="Arial" w:cs="Arial"/>
                <w:color w:val="010000"/>
                <w:sz w:val="20"/>
              </w:rPr>
              <w:t>Revenue from financial activities</w:t>
            </w:r>
          </w:p>
        </w:tc>
        <w:tc>
          <w:tcPr>
            <w:tcW w:w="978" w:type="pct"/>
            <w:shd w:val="clear" w:color="auto" w:fill="auto"/>
            <w:tcMar>
              <w:top w:w="0" w:type="dxa"/>
              <w:bottom w:w="0" w:type="dxa"/>
            </w:tcMar>
            <w:vAlign w:val="center"/>
          </w:tcPr>
          <w:p w14:paraId="01AF6BDA" w14:textId="77777777" w:rsidR="0090704A" w:rsidRPr="00D6259D" w:rsidRDefault="00240323"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411,045,429</w:t>
            </w:r>
          </w:p>
        </w:tc>
        <w:tc>
          <w:tcPr>
            <w:tcW w:w="963" w:type="pct"/>
            <w:shd w:val="clear" w:color="auto" w:fill="auto"/>
            <w:tcMar>
              <w:top w:w="0" w:type="dxa"/>
              <w:bottom w:w="0" w:type="dxa"/>
            </w:tcMar>
            <w:vAlign w:val="center"/>
          </w:tcPr>
          <w:p w14:paraId="41C94CBB" w14:textId="77777777" w:rsidR="0090704A" w:rsidRPr="00D6259D" w:rsidRDefault="0090704A"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p>
        </w:tc>
        <w:tc>
          <w:tcPr>
            <w:tcW w:w="689" w:type="pct"/>
            <w:shd w:val="clear" w:color="auto" w:fill="auto"/>
            <w:tcMar>
              <w:top w:w="0" w:type="dxa"/>
              <w:bottom w:w="0" w:type="dxa"/>
            </w:tcMar>
            <w:vAlign w:val="center"/>
          </w:tcPr>
          <w:p w14:paraId="6291872A" w14:textId="77777777" w:rsidR="0090704A" w:rsidRPr="00D6259D" w:rsidRDefault="0090704A"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p>
        </w:tc>
      </w:tr>
      <w:tr w:rsidR="0090704A" w:rsidRPr="00D6259D" w14:paraId="7F240F4E" w14:textId="77777777" w:rsidTr="0018699B">
        <w:tc>
          <w:tcPr>
            <w:tcW w:w="434" w:type="pct"/>
            <w:shd w:val="clear" w:color="auto" w:fill="auto"/>
            <w:tcMar>
              <w:top w:w="0" w:type="dxa"/>
              <w:bottom w:w="0" w:type="dxa"/>
            </w:tcMar>
            <w:vAlign w:val="center"/>
          </w:tcPr>
          <w:p w14:paraId="566B4103" w14:textId="77777777" w:rsidR="0090704A" w:rsidRPr="00D6259D" w:rsidRDefault="00240323"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2</w:t>
            </w:r>
          </w:p>
        </w:tc>
        <w:tc>
          <w:tcPr>
            <w:tcW w:w="1936" w:type="pct"/>
            <w:shd w:val="clear" w:color="auto" w:fill="auto"/>
            <w:tcMar>
              <w:top w:w="0" w:type="dxa"/>
              <w:bottom w:w="0" w:type="dxa"/>
            </w:tcMar>
            <w:vAlign w:val="center"/>
          </w:tcPr>
          <w:p w14:paraId="6BA9F1B8" w14:textId="77777777" w:rsidR="0090704A" w:rsidRPr="00D6259D" w:rsidRDefault="00240323"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Total expenses</w:t>
            </w:r>
          </w:p>
          <w:p w14:paraId="71AB13AE" w14:textId="77777777" w:rsidR="0090704A" w:rsidRPr="00D6259D" w:rsidRDefault="00240323"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In which, provision for bad receivable debts.</w:t>
            </w:r>
          </w:p>
        </w:tc>
        <w:tc>
          <w:tcPr>
            <w:tcW w:w="978" w:type="pct"/>
            <w:shd w:val="clear" w:color="auto" w:fill="auto"/>
            <w:tcMar>
              <w:top w:w="0" w:type="dxa"/>
              <w:bottom w:w="0" w:type="dxa"/>
            </w:tcMar>
            <w:vAlign w:val="center"/>
          </w:tcPr>
          <w:p w14:paraId="4B1EF385" w14:textId="77777777" w:rsidR="0090704A" w:rsidRPr="00D6259D" w:rsidRDefault="00240323"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108,179,330,148</w:t>
            </w:r>
          </w:p>
          <w:p w14:paraId="7D711226" w14:textId="77777777" w:rsidR="0090704A" w:rsidRPr="00D6259D" w:rsidRDefault="00240323"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13,389,101,050</w:t>
            </w:r>
          </w:p>
        </w:tc>
        <w:tc>
          <w:tcPr>
            <w:tcW w:w="963" w:type="pct"/>
            <w:shd w:val="clear" w:color="auto" w:fill="auto"/>
            <w:tcMar>
              <w:top w:w="0" w:type="dxa"/>
              <w:bottom w:w="0" w:type="dxa"/>
            </w:tcMar>
            <w:vAlign w:val="center"/>
          </w:tcPr>
          <w:p w14:paraId="75D23E07" w14:textId="77777777" w:rsidR="0090704A" w:rsidRPr="00D6259D" w:rsidRDefault="0090704A"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p>
        </w:tc>
        <w:tc>
          <w:tcPr>
            <w:tcW w:w="689" w:type="pct"/>
            <w:shd w:val="clear" w:color="auto" w:fill="auto"/>
            <w:tcMar>
              <w:top w:w="0" w:type="dxa"/>
              <w:bottom w:w="0" w:type="dxa"/>
            </w:tcMar>
            <w:vAlign w:val="center"/>
          </w:tcPr>
          <w:p w14:paraId="1DA2870F" w14:textId="77777777" w:rsidR="0090704A" w:rsidRPr="00D6259D" w:rsidRDefault="0090704A"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p>
        </w:tc>
      </w:tr>
      <w:tr w:rsidR="0090704A" w:rsidRPr="00D6259D" w14:paraId="34D836F7" w14:textId="77777777" w:rsidTr="0018699B">
        <w:tc>
          <w:tcPr>
            <w:tcW w:w="434" w:type="pct"/>
            <w:shd w:val="clear" w:color="auto" w:fill="auto"/>
            <w:tcMar>
              <w:top w:w="0" w:type="dxa"/>
              <w:bottom w:w="0" w:type="dxa"/>
            </w:tcMar>
            <w:vAlign w:val="center"/>
          </w:tcPr>
          <w:p w14:paraId="256C20C5" w14:textId="77777777" w:rsidR="0090704A" w:rsidRPr="00D6259D" w:rsidRDefault="00240323"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3</w:t>
            </w:r>
          </w:p>
        </w:tc>
        <w:tc>
          <w:tcPr>
            <w:tcW w:w="1936" w:type="pct"/>
            <w:shd w:val="clear" w:color="auto" w:fill="auto"/>
            <w:tcMar>
              <w:top w:w="0" w:type="dxa"/>
              <w:bottom w:w="0" w:type="dxa"/>
            </w:tcMar>
            <w:vAlign w:val="center"/>
          </w:tcPr>
          <w:p w14:paraId="4031DBBD" w14:textId="77777777" w:rsidR="0090704A" w:rsidRPr="00D6259D" w:rsidRDefault="00240323"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Profit after tax</w:t>
            </w:r>
          </w:p>
        </w:tc>
        <w:tc>
          <w:tcPr>
            <w:tcW w:w="978" w:type="pct"/>
            <w:shd w:val="clear" w:color="auto" w:fill="auto"/>
            <w:tcMar>
              <w:top w:w="0" w:type="dxa"/>
              <w:bottom w:w="0" w:type="dxa"/>
            </w:tcMar>
            <w:vAlign w:val="center"/>
          </w:tcPr>
          <w:p w14:paraId="53C7C803" w14:textId="77777777" w:rsidR="0090704A" w:rsidRPr="00D6259D" w:rsidRDefault="00240323"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(11,249,128,231)</w:t>
            </w:r>
          </w:p>
        </w:tc>
        <w:tc>
          <w:tcPr>
            <w:tcW w:w="963" w:type="pct"/>
            <w:shd w:val="clear" w:color="auto" w:fill="auto"/>
            <w:tcMar>
              <w:top w:w="0" w:type="dxa"/>
              <w:bottom w:w="0" w:type="dxa"/>
            </w:tcMar>
            <w:vAlign w:val="center"/>
          </w:tcPr>
          <w:p w14:paraId="3250F993" w14:textId="77777777" w:rsidR="0090704A" w:rsidRPr="00D6259D" w:rsidRDefault="00240323"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4,050,000,000</w:t>
            </w:r>
          </w:p>
        </w:tc>
        <w:tc>
          <w:tcPr>
            <w:tcW w:w="689" w:type="pct"/>
            <w:shd w:val="clear" w:color="auto" w:fill="auto"/>
            <w:tcMar>
              <w:top w:w="0" w:type="dxa"/>
              <w:bottom w:w="0" w:type="dxa"/>
            </w:tcMar>
            <w:vAlign w:val="center"/>
          </w:tcPr>
          <w:p w14:paraId="6783581D" w14:textId="77777777" w:rsidR="0090704A" w:rsidRPr="00D6259D" w:rsidRDefault="00240323"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(277.75%)</w:t>
            </w:r>
          </w:p>
        </w:tc>
      </w:tr>
      <w:tr w:rsidR="0090704A" w:rsidRPr="00D6259D" w14:paraId="40DB4592" w14:textId="77777777" w:rsidTr="0018699B">
        <w:tc>
          <w:tcPr>
            <w:tcW w:w="434" w:type="pct"/>
            <w:shd w:val="clear" w:color="auto" w:fill="auto"/>
            <w:tcMar>
              <w:top w:w="0" w:type="dxa"/>
              <w:bottom w:w="0" w:type="dxa"/>
            </w:tcMar>
            <w:vAlign w:val="center"/>
          </w:tcPr>
          <w:p w14:paraId="65C160D1" w14:textId="77777777" w:rsidR="0090704A" w:rsidRPr="00D6259D" w:rsidRDefault="00240323"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4</w:t>
            </w:r>
          </w:p>
        </w:tc>
        <w:tc>
          <w:tcPr>
            <w:tcW w:w="1936" w:type="pct"/>
            <w:shd w:val="clear" w:color="auto" w:fill="auto"/>
            <w:tcMar>
              <w:top w:w="0" w:type="dxa"/>
              <w:bottom w:w="0" w:type="dxa"/>
            </w:tcMar>
            <w:vAlign w:val="center"/>
          </w:tcPr>
          <w:p w14:paraId="46AC2FE1" w14:textId="77777777" w:rsidR="0090704A" w:rsidRPr="00D6259D" w:rsidRDefault="00240323"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Total salary fund in 2023</w:t>
            </w:r>
          </w:p>
        </w:tc>
        <w:tc>
          <w:tcPr>
            <w:tcW w:w="978" w:type="pct"/>
            <w:shd w:val="clear" w:color="auto" w:fill="auto"/>
            <w:tcMar>
              <w:top w:w="0" w:type="dxa"/>
              <w:bottom w:w="0" w:type="dxa"/>
            </w:tcMar>
            <w:vAlign w:val="center"/>
          </w:tcPr>
          <w:p w14:paraId="56B5B18A" w14:textId="77777777" w:rsidR="0090704A" w:rsidRPr="00D6259D" w:rsidRDefault="00240323"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24,633,093,434</w:t>
            </w:r>
          </w:p>
        </w:tc>
        <w:tc>
          <w:tcPr>
            <w:tcW w:w="963" w:type="pct"/>
            <w:shd w:val="clear" w:color="auto" w:fill="auto"/>
            <w:tcMar>
              <w:top w:w="0" w:type="dxa"/>
              <w:bottom w:w="0" w:type="dxa"/>
            </w:tcMar>
            <w:vAlign w:val="center"/>
          </w:tcPr>
          <w:p w14:paraId="1368DD11" w14:textId="77777777" w:rsidR="0090704A" w:rsidRPr="00D6259D" w:rsidRDefault="0090704A"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p>
        </w:tc>
        <w:tc>
          <w:tcPr>
            <w:tcW w:w="689" w:type="pct"/>
            <w:shd w:val="clear" w:color="auto" w:fill="auto"/>
            <w:tcMar>
              <w:top w:w="0" w:type="dxa"/>
              <w:bottom w:w="0" w:type="dxa"/>
            </w:tcMar>
            <w:vAlign w:val="center"/>
          </w:tcPr>
          <w:p w14:paraId="38F5982A" w14:textId="77777777" w:rsidR="0090704A" w:rsidRPr="00D6259D" w:rsidRDefault="0090704A"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p>
        </w:tc>
      </w:tr>
      <w:tr w:rsidR="0090704A" w:rsidRPr="00D6259D" w14:paraId="0F6CBF31" w14:textId="77777777" w:rsidTr="0018699B">
        <w:tc>
          <w:tcPr>
            <w:tcW w:w="434" w:type="pct"/>
            <w:shd w:val="clear" w:color="auto" w:fill="auto"/>
            <w:tcMar>
              <w:top w:w="0" w:type="dxa"/>
              <w:bottom w:w="0" w:type="dxa"/>
            </w:tcMar>
            <w:vAlign w:val="center"/>
          </w:tcPr>
          <w:p w14:paraId="3708C25D" w14:textId="77777777" w:rsidR="0090704A" w:rsidRPr="00D6259D" w:rsidRDefault="00240323"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5</w:t>
            </w:r>
          </w:p>
        </w:tc>
        <w:tc>
          <w:tcPr>
            <w:tcW w:w="1936" w:type="pct"/>
            <w:shd w:val="clear" w:color="auto" w:fill="auto"/>
            <w:tcMar>
              <w:top w:w="0" w:type="dxa"/>
              <w:bottom w:w="0" w:type="dxa"/>
            </w:tcMar>
            <w:vAlign w:val="center"/>
          </w:tcPr>
          <w:p w14:paraId="661538D5" w14:textId="77777777" w:rsidR="0090704A" w:rsidRPr="00D6259D" w:rsidRDefault="00240323"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Salary fund compared to production and business revenue</w:t>
            </w:r>
          </w:p>
        </w:tc>
        <w:tc>
          <w:tcPr>
            <w:tcW w:w="978" w:type="pct"/>
            <w:shd w:val="clear" w:color="auto" w:fill="auto"/>
            <w:tcMar>
              <w:top w:w="0" w:type="dxa"/>
              <w:bottom w:w="0" w:type="dxa"/>
            </w:tcMar>
            <w:vAlign w:val="center"/>
          </w:tcPr>
          <w:p w14:paraId="5732356B" w14:textId="77777777" w:rsidR="0090704A" w:rsidRPr="00D6259D" w:rsidRDefault="00240323"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25.67%</w:t>
            </w:r>
          </w:p>
        </w:tc>
        <w:tc>
          <w:tcPr>
            <w:tcW w:w="963" w:type="pct"/>
            <w:shd w:val="clear" w:color="auto" w:fill="auto"/>
            <w:tcMar>
              <w:top w:w="0" w:type="dxa"/>
              <w:bottom w:w="0" w:type="dxa"/>
            </w:tcMar>
            <w:vAlign w:val="center"/>
          </w:tcPr>
          <w:p w14:paraId="3C38353E" w14:textId="77777777" w:rsidR="0090704A" w:rsidRPr="00D6259D" w:rsidRDefault="00240323"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22.00%</w:t>
            </w:r>
          </w:p>
        </w:tc>
        <w:tc>
          <w:tcPr>
            <w:tcW w:w="689" w:type="pct"/>
            <w:shd w:val="clear" w:color="auto" w:fill="auto"/>
            <w:tcMar>
              <w:top w:w="0" w:type="dxa"/>
              <w:bottom w:w="0" w:type="dxa"/>
            </w:tcMar>
            <w:vAlign w:val="center"/>
          </w:tcPr>
          <w:p w14:paraId="535F7087" w14:textId="77777777" w:rsidR="0090704A" w:rsidRPr="00D6259D" w:rsidRDefault="0090704A"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p>
        </w:tc>
      </w:tr>
      <w:tr w:rsidR="0090704A" w:rsidRPr="00D6259D" w14:paraId="64AAE20A" w14:textId="77777777" w:rsidTr="0018699B">
        <w:tc>
          <w:tcPr>
            <w:tcW w:w="434" w:type="pct"/>
            <w:shd w:val="clear" w:color="auto" w:fill="auto"/>
            <w:tcMar>
              <w:top w:w="0" w:type="dxa"/>
              <w:bottom w:w="0" w:type="dxa"/>
            </w:tcMar>
            <w:vAlign w:val="center"/>
          </w:tcPr>
          <w:p w14:paraId="59EF6D9A" w14:textId="77777777" w:rsidR="0090704A" w:rsidRPr="00D6259D" w:rsidRDefault="00240323"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6</w:t>
            </w:r>
          </w:p>
        </w:tc>
        <w:tc>
          <w:tcPr>
            <w:tcW w:w="1936" w:type="pct"/>
            <w:shd w:val="clear" w:color="auto" w:fill="auto"/>
            <w:tcMar>
              <w:top w:w="0" w:type="dxa"/>
              <w:bottom w:w="0" w:type="dxa"/>
            </w:tcMar>
            <w:vAlign w:val="center"/>
          </w:tcPr>
          <w:p w14:paraId="514C8CA1" w14:textId="77777777" w:rsidR="0090704A" w:rsidRPr="00D6259D" w:rsidRDefault="00240323"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 xml:space="preserve">Average number of employees (169 employees at the beginning of the period, 148 employees at the end of </w:t>
            </w:r>
            <w:r w:rsidRPr="00D6259D">
              <w:rPr>
                <w:rFonts w:ascii="Arial" w:hAnsi="Arial" w:cs="Arial"/>
                <w:color w:val="010000"/>
                <w:sz w:val="20"/>
              </w:rPr>
              <w:lastRenderedPageBreak/>
              <w:t>the period)</w:t>
            </w:r>
          </w:p>
        </w:tc>
        <w:tc>
          <w:tcPr>
            <w:tcW w:w="978" w:type="pct"/>
            <w:shd w:val="clear" w:color="auto" w:fill="auto"/>
            <w:tcMar>
              <w:top w:w="0" w:type="dxa"/>
              <w:bottom w:w="0" w:type="dxa"/>
            </w:tcMar>
            <w:vAlign w:val="center"/>
          </w:tcPr>
          <w:p w14:paraId="00BBD49C" w14:textId="77777777" w:rsidR="0090704A" w:rsidRPr="00D6259D" w:rsidRDefault="00240323"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lastRenderedPageBreak/>
              <w:t>158</w:t>
            </w:r>
          </w:p>
        </w:tc>
        <w:tc>
          <w:tcPr>
            <w:tcW w:w="963" w:type="pct"/>
            <w:shd w:val="clear" w:color="auto" w:fill="auto"/>
            <w:tcMar>
              <w:top w:w="0" w:type="dxa"/>
              <w:bottom w:w="0" w:type="dxa"/>
            </w:tcMar>
            <w:vAlign w:val="center"/>
          </w:tcPr>
          <w:p w14:paraId="40D8092A" w14:textId="77777777" w:rsidR="0090704A" w:rsidRPr="00D6259D" w:rsidRDefault="0090704A"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p>
        </w:tc>
        <w:tc>
          <w:tcPr>
            <w:tcW w:w="689" w:type="pct"/>
            <w:shd w:val="clear" w:color="auto" w:fill="auto"/>
            <w:tcMar>
              <w:top w:w="0" w:type="dxa"/>
              <w:bottom w:w="0" w:type="dxa"/>
            </w:tcMar>
            <w:vAlign w:val="center"/>
          </w:tcPr>
          <w:p w14:paraId="3AE45558" w14:textId="77777777" w:rsidR="0090704A" w:rsidRPr="00D6259D" w:rsidRDefault="0090704A"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p>
        </w:tc>
      </w:tr>
      <w:tr w:rsidR="0090704A" w:rsidRPr="00D6259D" w14:paraId="105B5464" w14:textId="77777777" w:rsidTr="0018699B">
        <w:tc>
          <w:tcPr>
            <w:tcW w:w="434" w:type="pct"/>
            <w:shd w:val="clear" w:color="auto" w:fill="auto"/>
            <w:tcMar>
              <w:top w:w="0" w:type="dxa"/>
              <w:bottom w:w="0" w:type="dxa"/>
            </w:tcMar>
            <w:vAlign w:val="center"/>
          </w:tcPr>
          <w:p w14:paraId="0AAE8801" w14:textId="77777777" w:rsidR="0090704A" w:rsidRPr="00D6259D" w:rsidRDefault="00240323"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7</w:t>
            </w:r>
          </w:p>
        </w:tc>
        <w:tc>
          <w:tcPr>
            <w:tcW w:w="1936" w:type="pct"/>
            <w:shd w:val="clear" w:color="auto" w:fill="auto"/>
            <w:tcMar>
              <w:top w:w="0" w:type="dxa"/>
              <w:bottom w:w="0" w:type="dxa"/>
            </w:tcMar>
            <w:vAlign w:val="center"/>
          </w:tcPr>
          <w:p w14:paraId="64A45731" w14:textId="77777777" w:rsidR="0090704A" w:rsidRPr="00D6259D" w:rsidRDefault="00240323"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Average salary/month/person (VND)</w:t>
            </w:r>
          </w:p>
        </w:tc>
        <w:tc>
          <w:tcPr>
            <w:tcW w:w="978" w:type="pct"/>
            <w:shd w:val="clear" w:color="auto" w:fill="auto"/>
            <w:tcMar>
              <w:top w:w="0" w:type="dxa"/>
              <w:bottom w:w="0" w:type="dxa"/>
            </w:tcMar>
            <w:vAlign w:val="center"/>
          </w:tcPr>
          <w:p w14:paraId="0FB1E1EC" w14:textId="77777777" w:rsidR="0090704A" w:rsidRPr="00D6259D" w:rsidRDefault="00240323"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VND12,992,138</w:t>
            </w:r>
          </w:p>
        </w:tc>
        <w:tc>
          <w:tcPr>
            <w:tcW w:w="963" w:type="pct"/>
            <w:shd w:val="clear" w:color="auto" w:fill="auto"/>
            <w:tcMar>
              <w:top w:w="0" w:type="dxa"/>
              <w:bottom w:w="0" w:type="dxa"/>
            </w:tcMar>
            <w:vAlign w:val="center"/>
          </w:tcPr>
          <w:p w14:paraId="3634DC86" w14:textId="77777777" w:rsidR="0090704A" w:rsidRPr="00D6259D" w:rsidRDefault="0090704A"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p>
        </w:tc>
        <w:tc>
          <w:tcPr>
            <w:tcW w:w="689" w:type="pct"/>
            <w:shd w:val="clear" w:color="auto" w:fill="auto"/>
            <w:tcMar>
              <w:top w:w="0" w:type="dxa"/>
              <w:bottom w:w="0" w:type="dxa"/>
            </w:tcMar>
            <w:vAlign w:val="center"/>
          </w:tcPr>
          <w:p w14:paraId="24FCC697" w14:textId="77777777" w:rsidR="0090704A" w:rsidRPr="00D6259D" w:rsidRDefault="0090704A" w:rsidP="0018699B">
            <w:p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p>
        </w:tc>
      </w:tr>
    </w:tbl>
    <w:p w14:paraId="1AC14963" w14:textId="77777777" w:rsidR="0090704A" w:rsidRPr="00D6259D" w:rsidRDefault="00240323" w:rsidP="0018699B">
      <w:pPr>
        <w:numPr>
          <w:ilvl w:val="0"/>
          <w:numId w:val="7"/>
        </w:numPr>
        <w:pBdr>
          <w:top w:val="nil"/>
          <w:left w:val="nil"/>
          <w:bottom w:val="nil"/>
          <w:right w:val="nil"/>
          <w:between w:val="nil"/>
        </w:pBdr>
        <w:tabs>
          <w:tab w:val="left" w:pos="354"/>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 xml:space="preserve">Business and production plan targets </w:t>
      </w:r>
      <w:r w:rsidR="00E420B8" w:rsidRPr="00D6259D">
        <w:rPr>
          <w:rFonts w:ascii="Arial" w:hAnsi="Arial" w:cs="Arial"/>
          <w:color w:val="010000"/>
          <w:sz w:val="20"/>
        </w:rPr>
        <w:t>for</w:t>
      </w:r>
      <w:r w:rsidRPr="00D6259D">
        <w:rPr>
          <w:rFonts w:ascii="Arial" w:hAnsi="Arial" w:cs="Arial"/>
          <w:color w:val="010000"/>
          <w:sz w:val="20"/>
        </w:rPr>
        <w:t xml:space="preserve"> 2024</w:t>
      </w:r>
      <w:r w:rsidR="00FF080B" w:rsidRPr="00D6259D">
        <w:rPr>
          <w:rFonts w:ascii="Arial" w:hAnsi="Arial" w:cs="Arial"/>
          <w:color w:val="010000"/>
          <w:sz w:val="20"/>
        </w:rPr>
        <w:t>.</w:t>
      </w:r>
    </w:p>
    <w:p w14:paraId="04291244" w14:textId="77777777" w:rsidR="0090704A" w:rsidRPr="00D6259D" w:rsidRDefault="00240323" w:rsidP="0018699B">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6259D">
        <w:rPr>
          <w:rFonts w:ascii="Arial" w:hAnsi="Arial" w:cs="Arial"/>
          <w:color w:val="010000"/>
          <w:sz w:val="20"/>
        </w:rPr>
        <w:t>Total contract value: VND130</w:t>
      </w:r>
      <w:r w:rsidR="00FF080B" w:rsidRPr="00D6259D">
        <w:rPr>
          <w:rFonts w:ascii="Arial" w:hAnsi="Arial" w:cs="Arial"/>
          <w:color w:val="010000"/>
          <w:sz w:val="20"/>
        </w:rPr>
        <w:t xml:space="preserve"> billion</w:t>
      </w:r>
    </w:p>
    <w:p w14:paraId="36AE7021" w14:textId="77777777" w:rsidR="0090704A" w:rsidRPr="00D6259D" w:rsidRDefault="00240323" w:rsidP="0018699B">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6259D">
        <w:rPr>
          <w:rFonts w:ascii="Arial" w:hAnsi="Arial" w:cs="Arial"/>
          <w:color w:val="010000"/>
          <w:sz w:val="20"/>
        </w:rPr>
        <w:t>Total value of revenue</w:t>
      </w:r>
      <w:r w:rsidR="00FF080B" w:rsidRPr="00D6259D">
        <w:rPr>
          <w:rFonts w:ascii="Arial" w:hAnsi="Arial" w:cs="Arial"/>
          <w:color w:val="010000"/>
          <w:sz w:val="20"/>
        </w:rPr>
        <w:t>:</w:t>
      </w:r>
      <w:r w:rsidRPr="00D6259D">
        <w:rPr>
          <w:rFonts w:ascii="Arial" w:hAnsi="Arial" w:cs="Arial"/>
          <w:color w:val="010000"/>
          <w:sz w:val="20"/>
        </w:rPr>
        <w:t xml:space="preserve"> VND120</w:t>
      </w:r>
      <w:r w:rsidR="00FF080B" w:rsidRPr="00D6259D">
        <w:rPr>
          <w:rFonts w:ascii="Arial" w:hAnsi="Arial" w:cs="Arial"/>
          <w:color w:val="010000"/>
          <w:sz w:val="20"/>
        </w:rPr>
        <w:t xml:space="preserve"> billion</w:t>
      </w:r>
    </w:p>
    <w:p w14:paraId="5D106905" w14:textId="77777777" w:rsidR="0090704A" w:rsidRPr="00D6259D" w:rsidRDefault="00240323" w:rsidP="0018699B">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6259D">
        <w:rPr>
          <w:rFonts w:ascii="Arial" w:hAnsi="Arial" w:cs="Arial"/>
          <w:color w:val="010000"/>
          <w:sz w:val="20"/>
        </w:rPr>
        <w:t>Profit after tax/revenue rate: 5%/revenue</w:t>
      </w:r>
    </w:p>
    <w:p w14:paraId="5999C626" w14:textId="77777777" w:rsidR="0090704A" w:rsidRPr="00D6259D" w:rsidRDefault="00240323" w:rsidP="0018699B">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6259D">
        <w:rPr>
          <w:rFonts w:ascii="Arial" w:hAnsi="Arial" w:cs="Arial"/>
          <w:color w:val="010000"/>
          <w:sz w:val="20"/>
        </w:rPr>
        <w:t>Expected rate of salary fund: No more than 23%/revenue</w:t>
      </w:r>
    </w:p>
    <w:p w14:paraId="7B5377C4" w14:textId="77777777" w:rsidR="0090704A" w:rsidRPr="00D6259D" w:rsidRDefault="00240323" w:rsidP="0018699B">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6259D">
        <w:rPr>
          <w:rFonts w:ascii="Arial" w:hAnsi="Arial" w:cs="Arial"/>
          <w:color w:val="010000"/>
          <w:sz w:val="20"/>
        </w:rPr>
        <w:t>Expected dividend payment rate: 3%-5%/year</w:t>
      </w:r>
    </w:p>
    <w:p w14:paraId="4C26A3D9" w14:textId="77777777" w:rsidR="0090704A" w:rsidRPr="00D6259D" w:rsidRDefault="00240323" w:rsidP="001869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 xml:space="preserve">‎‎Article 2. Approve the Report of the Board of Directors. </w:t>
      </w:r>
    </w:p>
    <w:p w14:paraId="0168893D" w14:textId="77777777" w:rsidR="0090704A" w:rsidRPr="00D6259D" w:rsidRDefault="00240323" w:rsidP="001869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 xml:space="preserve">‎‎Article 3. Approve the Report of the Supervisory Board; </w:t>
      </w:r>
    </w:p>
    <w:p w14:paraId="22658EA0" w14:textId="77777777" w:rsidR="0090704A" w:rsidRPr="00D6259D" w:rsidRDefault="00240323" w:rsidP="001869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‎‎Article 4. Approve the Financial Statement</w:t>
      </w:r>
      <w:r w:rsidR="00FF080B" w:rsidRPr="00D6259D">
        <w:rPr>
          <w:rFonts w:ascii="Arial" w:hAnsi="Arial" w:cs="Arial"/>
          <w:color w:val="010000"/>
          <w:sz w:val="20"/>
        </w:rPr>
        <w:t>s</w:t>
      </w:r>
      <w:r w:rsidRPr="00D6259D">
        <w:rPr>
          <w:rFonts w:ascii="Arial" w:hAnsi="Arial" w:cs="Arial"/>
          <w:color w:val="010000"/>
          <w:sz w:val="20"/>
        </w:rPr>
        <w:t xml:space="preserve"> 2023 audited by UHY Auditing and Consulting Company Limited.</w:t>
      </w:r>
    </w:p>
    <w:p w14:paraId="2D1D6313" w14:textId="77777777" w:rsidR="0090704A" w:rsidRPr="00D6259D" w:rsidRDefault="00240323" w:rsidP="001869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‎‎Article 5. Approve the plan on profit after tax distribution, as follows:</w:t>
      </w:r>
    </w:p>
    <w:p w14:paraId="5B6E91CD" w14:textId="77777777" w:rsidR="0090704A" w:rsidRPr="00D6259D" w:rsidRDefault="00240323" w:rsidP="001869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Total accumulated undistributed profit after tax as of December 31, 2023: VND10,530,941,860</w:t>
      </w:r>
    </w:p>
    <w:p w14:paraId="3BDC4904" w14:textId="77777777" w:rsidR="0090704A" w:rsidRPr="00D6259D" w:rsidRDefault="00240323" w:rsidP="001869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In which:</w:t>
      </w:r>
    </w:p>
    <w:p w14:paraId="0CE9F107" w14:textId="77777777" w:rsidR="0090704A" w:rsidRPr="00D6259D" w:rsidRDefault="00240323" w:rsidP="0018699B">
      <w:pPr>
        <w:numPr>
          <w:ilvl w:val="0"/>
          <w:numId w:val="4"/>
        </w:numPr>
        <w:pBdr>
          <w:top w:val="nil"/>
          <w:left w:val="nil"/>
          <w:bottom w:val="nil"/>
          <w:right w:val="nil"/>
          <w:between w:val="nil"/>
        </w:pBdr>
        <w:tabs>
          <w:tab w:val="left" w:pos="432"/>
          <w:tab w:val="left" w:pos="6751"/>
        </w:tabs>
        <w:spacing w:after="120" w:line="360" w:lineRule="auto"/>
        <w:ind w:left="0" w:firstLine="0"/>
        <w:rPr>
          <w:rFonts w:ascii="Arial" w:eastAsia="Arial" w:hAnsi="Arial" w:cs="Arial"/>
          <w:color w:val="010000"/>
          <w:sz w:val="20"/>
          <w:szCs w:val="20"/>
        </w:rPr>
      </w:pPr>
      <w:r w:rsidRPr="00D6259D">
        <w:rPr>
          <w:rFonts w:ascii="Arial" w:hAnsi="Arial" w:cs="Arial"/>
          <w:color w:val="010000"/>
          <w:sz w:val="20"/>
        </w:rPr>
        <w:t>Accumulated undistributed profit after tax at the end of 2022</w:t>
      </w:r>
      <w:r w:rsidR="00BA65A0" w:rsidRPr="00D6259D">
        <w:rPr>
          <w:rFonts w:ascii="Arial" w:hAnsi="Arial" w:cs="Arial"/>
          <w:color w:val="010000"/>
          <w:sz w:val="20"/>
        </w:rPr>
        <w:t>:</w:t>
      </w:r>
      <w:r w:rsidRPr="00D6259D">
        <w:rPr>
          <w:rFonts w:ascii="Arial" w:hAnsi="Arial" w:cs="Arial"/>
          <w:color w:val="010000"/>
          <w:sz w:val="20"/>
        </w:rPr>
        <w:t xml:space="preserve"> VND21,780,070,091</w:t>
      </w:r>
      <w:r w:rsidR="00BA65A0" w:rsidRPr="00D6259D">
        <w:rPr>
          <w:rFonts w:ascii="Arial" w:hAnsi="Arial" w:cs="Arial"/>
          <w:color w:val="010000"/>
          <w:sz w:val="20"/>
        </w:rPr>
        <w:t>;</w:t>
      </w:r>
    </w:p>
    <w:p w14:paraId="05D05377" w14:textId="77777777" w:rsidR="0090704A" w:rsidRPr="00D6259D" w:rsidRDefault="00240323" w:rsidP="0018699B">
      <w:pPr>
        <w:numPr>
          <w:ilvl w:val="0"/>
          <w:numId w:val="4"/>
        </w:numPr>
        <w:pBdr>
          <w:top w:val="nil"/>
          <w:left w:val="nil"/>
          <w:bottom w:val="nil"/>
          <w:right w:val="nil"/>
          <w:between w:val="nil"/>
        </w:pBdr>
        <w:tabs>
          <w:tab w:val="left" w:pos="432"/>
          <w:tab w:val="left" w:pos="6751"/>
        </w:tabs>
        <w:spacing w:after="120" w:line="360" w:lineRule="auto"/>
        <w:ind w:left="0" w:firstLine="0"/>
        <w:rPr>
          <w:rFonts w:ascii="Arial" w:eastAsia="Arial" w:hAnsi="Arial" w:cs="Arial"/>
          <w:color w:val="010000"/>
          <w:sz w:val="20"/>
          <w:szCs w:val="20"/>
        </w:rPr>
      </w:pPr>
      <w:r w:rsidRPr="00D6259D">
        <w:rPr>
          <w:rFonts w:ascii="Arial" w:hAnsi="Arial" w:cs="Arial"/>
          <w:color w:val="010000"/>
          <w:sz w:val="20"/>
        </w:rPr>
        <w:t>Profit after tax in 2023:</w:t>
      </w:r>
      <w:r w:rsidR="00BA65A0" w:rsidRPr="00D6259D">
        <w:rPr>
          <w:rFonts w:ascii="Arial" w:hAnsi="Arial" w:cs="Arial"/>
          <w:color w:val="010000"/>
          <w:sz w:val="20"/>
        </w:rPr>
        <w:t xml:space="preserve"> </w:t>
      </w:r>
      <w:r w:rsidRPr="00D6259D">
        <w:rPr>
          <w:rFonts w:ascii="Arial" w:hAnsi="Arial" w:cs="Arial"/>
          <w:color w:val="010000"/>
          <w:sz w:val="20"/>
        </w:rPr>
        <w:t>VND(11,249,128,231).</w:t>
      </w:r>
    </w:p>
    <w:p w14:paraId="241EBF5E" w14:textId="77777777" w:rsidR="0090704A" w:rsidRPr="00D6259D" w:rsidRDefault="00240323" w:rsidP="001869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The General Meeting of Shareholders approved on:</w:t>
      </w:r>
    </w:p>
    <w:p w14:paraId="4AA04965" w14:textId="77777777" w:rsidR="0090704A" w:rsidRPr="00D6259D" w:rsidRDefault="00240323" w:rsidP="0018699B">
      <w:pPr>
        <w:numPr>
          <w:ilvl w:val="0"/>
          <w:numId w:val="4"/>
        </w:numPr>
        <w:pBdr>
          <w:top w:val="nil"/>
          <w:left w:val="nil"/>
          <w:bottom w:val="nil"/>
          <w:right w:val="nil"/>
          <w:between w:val="nil"/>
        </w:pBdr>
        <w:tabs>
          <w:tab w:val="left" w:pos="432"/>
          <w:tab w:val="left" w:pos="6751"/>
        </w:tabs>
        <w:spacing w:after="120" w:line="360" w:lineRule="auto"/>
        <w:ind w:left="0" w:firstLine="0"/>
        <w:rPr>
          <w:rFonts w:ascii="Arial" w:eastAsia="Arial" w:hAnsi="Arial" w:cs="Arial"/>
          <w:color w:val="010000"/>
          <w:sz w:val="20"/>
          <w:szCs w:val="20"/>
        </w:rPr>
      </w:pPr>
      <w:r w:rsidRPr="00D6259D">
        <w:rPr>
          <w:rFonts w:ascii="Arial" w:hAnsi="Arial" w:cs="Arial"/>
          <w:color w:val="010000"/>
          <w:sz w:val="20"/>
        </w:rPr>
        <w:t>Not paying dividends in 2023.</w:t>
      </w:r>
    </w:p>
    <w:p w14:paraId="022C9624" w14:textId="77777777" w:rsidR="0090704A" w:rsidRPr="00D6259D" w:rsidRDefault="00240323" w:rsidP="0018699B">
      <w:pPr>
        <w:numPr>
          <w:ilvl w:val="0"/>
          <w:numId w:val="4"/>
        </w:numPr>
        <w:pBdr>
          <w:top w:val="nil"/>
          <w:left w:val="nil"/>
          <w:bottom w:val="nil"/>
          <w:right w:val="nil"/>
          <w:between w:val="nil"/>
        </w:pBdr>
        <w:tabs>
          <w:tab w:val="left" w:pos="432"/>
          <w:tab w:val="left" w:pos="6751"/>
        </w:tabs>
        <w:spacing w:after="120" w:line="360" w:lineRule="auto"/>
        <w:ind w:left="0" w:firstLine="0"/>
        <w:rPr>
          <w:rFonts w:ascii="Arial" w:eastAsia="Arial" w:hAnsi="Arial" w:cs="Arial"/>
          <w:color w:val="010000"/>
          <w:sz w:val="20"/>
          <w:szCs w:val="20"/>
        </w:rPr>
      </w:pPr>
      <w:r w:rsidRPr="00D6259D">
        <w:rPr>
          <w:rFonts w:ascii="Arial" w:hAnsi="Arial" w:cs="Arial"/>
          <w:color w:val="010000"/>
          <w:sz w:val="20"/>
        </w:rPr>
        <w:t>Approve saving accumulated profit after tax as of December 31, 2023, the amount: VND10,530,941,860 used to handle financial and asset problems reflected on the Audited Financial Statements and the actual outstanding assets of the Company;</w:t>
      </w:r>
    </w:p>
    <w:p w14:paraId="03888C84" w14:textId="77777777" w:rsidR="0090704A" w:rsidRPr="00D6259D" w:rsidRDefault="00240323" w:rsidP="0018699B">
      <w:pPr>
        <w:numPr>
          <w:ilvl w:val="0"/>
          <w:numId w:val="4"/>
        </w:numPr>
        <w:pBdr>
          <w:top w:val="nil"/>
          <w:left w:val="nil"/>
          <w:bottom w:val="nil"/>
          <w:right w:val="nil"/>
          <w:between w:val="nil"/>
        </w:pBdr>
        <w:tabs>
          <w:tab w:val="left" w:pos="432"/>
          <w:tab w:val="left" w:pos="6751"/>
        </w:tabs>
        <w:spacing w:after="120" w:line="360" w:lineRule="auto"/>
        <w:ind w:left="0" w:firstLine="0"/>
        <w:rPr>
          <w:rFonts w:ascii="Arial" w:eastAsia="Arial" w:hAnsi="Arial" w:cs="Arial"/>
          <w:color w:val="010000"/>
          <w:sz w:val="20"/>
          <w:szCs w:val="20"/>
        </w:rPr>
      </w:pPr>
      <w:r w:rsidRPr="00D6259D">
        <w:rPr>
          <w:rFonts w:ascii="Arial" w:hAnsi="Arial" w:cs="Arial"/>
          <w:color w:val="010000"/>
          <w:sz w:val="20"/>
        </w:rPr>
        <w:t>Authorize the Board of Directors to decide and direct the General Manager and the Board of Management to</w:t>
      </w:r>
      <w:r w:rsidR="00BA65A0" w:rsidRPr="00D6259D">
        <w:rPr>
          <w:rFonts w:ascii="Arial" w:hAnsi="Arial" w:cs="Arial"/>
          <w:color w:val="010000"/>
          <w:sz w:val="20"/>
        </w:rPr>
        <w:t xml:space="preserve"> i</w:t>
      </w:r>
      <w:r w:rsidRPr="00D6259D">
        <w:rPr>
          <w:rFonts w:ascii="Arial" w:hAnsi="Arial" w:cs="Arial"/>
          <w:color w:val="010000"/>
          <w:sz w:val="20"/>
        </w:rPr>
        <w:t>nventory, tally, and determine the value of actual outstanding assets; implement accounting and handling of unfinished business expenses that have been outstanding for many years and cannot be allocated to production and business expenses in the near future; provision for overdue receivable debts; provision for devaluation of inventory, especially inventory that is no longer worth using, on the principle of ensuring financial balance and avoiding the risk of capital loss; report to the Board of Directors to decide and/or report to the General Meeting of Shareholders to consider and decide on contents beyond authority (if any).</w:t>
      </w:r>
    </w:p>
    <w:p w14:paraId="28836897" w14:textId="77777777" w:rsidR="0090704A" w:rsidRPr="00D6259D" w:rsidRDefault="00240323" w:rsidP="001869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 xml:space="preserve">‎‎Article 6. Approve the settlement of remuneration in 2023 and </w:t>
      </w:r>
      <w:r w:rsidR="00E420B8" w:rsidRPr="00D6259D">
        <w:rPr>
          <w:rFonts w:ascii="Arial" w:hAnsi="Arial" w:cs="Arial"/>
          <w:color w:val="010000"/>
          <w:sz w:val="20"/>
        </w:rPr>
        <w:t xml:space="preserve">the </w:t>
      </w:r>
      <w:r w:rsidRPr="00D6259D">
        <w:rPr>
          <w:rFonts w:ascii="Arial" w:hAnsi="Arial" w:cs="Arial"/>
          <w:color w:val="010000"/>
          <w:sz w:val="20"/>
        </w:rPr>
        <w:t>remuneration payment plan for members of the Board of Directors, the Supervisory Board, and the Secretariat of the Company for 2024.</w:t>
      </w:r>
    </w:p>
    <w:p w14:paraId="54504203" w14:textId="77777777" w:rsidR="0090704A" w:rsidRPr="00D6259D" w:rsidRDefault="00240323" w:rsidP="0018699B">
      <w:pPr>
        <w:numPr>
          <w:ilvl w:val="0"/>
          <w:numId w:val="1"/>
        </w:numPr>
        <w:pBdr>
          <w:top w:val="nil"/>
          <w:left w:val="nil"/>
          <w:bottom w:val="nil"/>
          <w:right w:val="nil"/>
          <w:between w:val="nil"/>
        </w:pBdr>
        <w:tabs>
          <w:tab w:val="left" w:pos="330"/>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lastRenderedPageBreak/>
        <w:t>Approve the set</w:t>
      </w:r>
      <w:r w:rsidR="00BA65A0" w:rsidRPr="00D6259D">
        <w:rPr>
          <w:rFonts w:ascii="Arial" w:hAnsi="Arial" w:cs="Arial"/>
          <w:color w:val="010000"/>
          <w:sz w:val="20"/>
        </w:rPr>
        <w:t xml:space="preserve">tlement of </w:t>
      </w:r>
      <w:r w:rsidR="00E420B8" w:rsidRPr="00D6259D">
        <w:rPr>
          <w:rFonts w:ascii="Arial" w:hAnsi="Arial" w:cs="Arial"/>
          <w:color w:val="010000"/>
          <w:sz w:val="20"/>
        </w:rPr>
        <w:t xml:space="preserve">the </w:t>
      </w:r>
      <w:r w:rsidR="00BA65A0" w:rsidRPr="00D6259D">
        <w:rPr>
          <w:rFonts w:ascii="Arial" w:hAnsi="Arial" w:cs="Arial"/>
          <w:color w:val="010000"/>
          <w:sz w:val="20"/>
        </w:rPr>
        <w:t>remuneration payment</w:t>
      </w:r>
      <w:r w:rsidRPr="00D6259D">
        <w:rPr>
          <w:rFonts w:ascii="Arial" w:hAnsi="Arial" w:cs="Arial"/>
          <w:color w:val="010000"/>
          <w:sz w:val="20"/>
        </w:rPr>
        <w:t xml:space="preserve"> for the Board of Directors, the Supervisory Board, and the Secretariat of the Company from January 1, 2023 to December 31, 2023: VND258</w:t>
      </w:r>
      <w:r w:rsidR="00BA65A0" w:rsidRPr="00D6259D">
        <w:rPr>
          <w:rFonts w:ascii="Arial" w:hAnsi="Arial" w:cs="Arial"/>
          <w:color w:val="010000"/>
          <w:sz w:val="20"/>
        </w:rPr>
        <w:t xml:space="preserve"> million.</w:t>
      </w:r>
    </w:p>
    <w:p w14:paraId="26013D87" w14:textId="77777777" w:rsidR="0090704A" w:rsidRPr="00D6259D" w:rsidRDefault="00240323" w:rsidP="001869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In which:</w:t>
      </w:r>
    </w:p>
    <w:p w14:paraId="18A22A54" w14:textId="77777777" w:rsidR="0090704A" w:rsidRPr="00D6259D" w:rsidRDefault="00240323" w:rsidP="0018699B">
      <w:pPr>
        <w:numPr>
          <w:ilvl w:val="0"/>
          <w:numId w:val="6"/>
        </w:numPr>
        <w:pBdr>
          <w:top w:val="nil"/>
          <w:left w:val="nil"/>
          <w:bottom w:val="nil"/>
          <w:right w:val="nil"/>
          <w:between w:val="nil"/>
        </w:pBdr>
        <w:tabs>
          <w:tab w:val="left" w:pos="432"/>
          <w:tab w:val="left" w:pos="6254"/>
        </w:tabs>
        <w:spacing w:after="120" w:line="360" w:lineRule="auto"/>
        <w:ind w:left="0" w:firstLine="0"/>
        <w:rPr>
          <w:rFonts w:ascii="Arial" w:eastAsia="Arial" w:hAnsi="Arial" w:cs="Arial"/>
          <w:color w:val="010000"/>
          <w:sz w:val="20"/>
          <w:szCs w:val="20"/>
        </w:rPr>
      </w:pPr>
      <w:r w:rsidRPr="00D6259D">
        <w:rPr>
          <w:rFonts w:ascii="Arial" w:hAnsi="Arial" w:cs="Arial"/>
          <w:color w:val="010000"/>
          <w:sz w:val="20"/>
        </w:rPr>
        <w:t>Remuneration for the Board of Directors and the Supervisory Board: VND252 million</w:t>
      </w:r>
    </w:p>
    <w:p w14:paraId="203E9A88" w14:textId="77777777" w:rsidR="0090704A" w:rsidRPr="00D6259D" w:rsidRDefault="00240323" w:rsidP="0018699B">
      <w:pPr>
        <w:numPr>
          <w:ilvl w:val="0"/>
          <w:numId w:val="6"/>
        </w:numPr>
        <w:pBdr>
          <w:top w:val="nil"/>
          <w:left w:val="nil"/>
          <w:bottom w:val="nil"/>
          <w:right w:val="nil"/>
          <w:between w:val="nil"/>
        </w:pBdr>
        <w:tabs>
          <w:tab w:val="left" w:pos="432"/>
          <w:tab w:val="left" w:pos="6254"/>
        </w:tabs>
        <w:spacing w:after="120" w:line="360" w:lineRule="auto"/>
        <w:ind w:left="0" w:firstLine="0"/>
        <w:rPr>
          <w:rFonts w:ascii="Arial" w:eastAsia="Arial" w:hAnsi="Arial" w:cs="Arial"/>
          <w:color w:val="010000"/>
          <w:sz w:val="20"/>
          <w:szCs w:val="20"/>
        </w:rPr>
      </w:pPr>
      <w:r w:rsidRPr="00D6259D">
        <w:rPr>
          <w:rFonts w:ascii="Arial" w:hAnsi="Arial" w:cs="Arial"/>
          <w:color w:val="010000"/>
          <w:sz w:val="20"/>
        </w:rPr>
        <w:t>Remuneration for the Secretariat of the Company (From July 1, 2023 - December 31, 2023): VND6 million</w:t>
      </w:r>
    </w:p>
    <w:p w14:paraId="1CBB07DC" w14:textId="77777777" w:rsidR="0090704A" w:rsidRPr="00D6259D" w:rsidRDefault="00240323" w:rsidP="0018699B">
      <w:pPr>
        <w:numPr>
          <w:ilvl w:val="0"/>
          <w:numId w:val="1"/>
        </w:numPr>
        <w:pBdr>
          <w:top w:val="nil"/>
          <w:left w:val="nil"/>
          <w:bottom w:val="nil"/>
          <w:right w:val="nil"/>
          <w:between w:val="nil"/>
        </w:pBdr>
        <w:tabs>
          <w:tab w:val="left" w:pos="354"/>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Approve the planned salary fund of employees; remuneration for the Board of Directors</w:t>
      </w:r>
      <w:r w:rsidR="00BA65A0" w:rsidRPr="00D6259D">
        <w:rPr>
          <w:rFonts w:ascii="Arial" w:hAnsi="Arial" w:cs="Arial"/>
          <w:color w:val="010000"/>
          <w:sz w:val="20"/>
        </w:rPr>
        <w:t xml:space="preserve">, </w:t>
      </w:r>
      <w:r w:rsidRPr="00D6259D">
        <w:rPr>
          <w:rFonts w:ascii="Arial" w:hAnsi="Arial" w:cs="Arial"/>
          <w:color w:val="010000"/>
          <w:sz w:val="20"/>
        </w:rPr>
        <w:t>the Supervisory Board, and the Secretariat of the Company in 2024</w:t>
      </w:r>
    </w:p>
    <w:p w14:paraId="4E293C17" w14:textId="77777777" w:rsidR="0090704A" w:rsidRPr="00D6259D" w:rsidRDefault="00240323" w:rsidP="0018699B">
      <w:pPr>
        <w:numPr>
          <w:ilvl w:val="0"/>
          <w:numId w:val="2"/>
        </w:numPr>
        <w:pBdr>
          <w:top w:val="nil"/>
          <w:left w:val="nil"/>
          <w:bottom w:val="nil"/>
          <w:right w:val="nil"/>
          <w:between w:val="nil"/>
        </w:pBdr>
        <w:tabs>
          <w:tab w:val="left" w:pos="284"/>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Total planned salary fund of employees and executive officers: VND27,750 million (equivalent to 23%/total revenue and income)</w:t>
      </w:r>
    </w:p>
    <w:p w14:paraId="1EF32EE6" w14:textId="77777777" w:rsidR="0090704A" w:rsidRPr="00D6259D" w:rsidRDefault="00240323" w:rsidP="0018699B">
      <w:pPr>
        <w:numPr>
          <w:ilvl w:val="0"/>
          <w:numId w:val="2"/>
        </w:numPr>
        <w:pBdr>
          <w:top w:val="nil"/>
          <w:left w:val="nil"/>
          <w:bottom w:val="nil"/>
          <w:right w:val="nil"/>
          <w:between w:val="nil"/>
        </w:pBdr>
        <w:tabs>
          <w:tab w:val="left" w:pos="284"/>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Remuneration for the Board of Directors, the Supervisory Board, and the Secretariat of the Company in 2024</w:t>
      </w:r>
      <w:r w:rsidR="00E420B8" w:rsidRPr="00D6259D">
        <w:rPr>
          <w:rFonts w:ascii="Arial" w:hAnsi="Arial" w:cs="Arial"/>
          <w:color w:val="010000"/>
          <w:sz w:val="20"/>
        </w:rPr>
        <w:t xml:space="preserve"> with the </w:t>
      </w:r>
      <w:r w:rsidRPr="00D6259D">
        <w:rPr>
          <w:rFonts w:ascii="Arial" w:hAnsi="Arial" w:cs="Arial"/>
          <w:color w:val="010000"/>
          <w:sz w:val="20"/>
        </w:rPr>
        <w:t>amount</w:t>
      </w:r>
      <w:r w:rsidR="00E420B8" w:rsidRPr="00D6259D">
        <w:rPr>
          <w:rFonts w:ascii="Arial" w:hAnsi="Arial" w:cs="Arial"/>
          <w:color w:val="010000"/>
          <w:sz w:val="20"/>
        </w:rPr>
        <w:t xml:space="preserve"> of </w:t>
      </w:r>
      <w:r w:rsidRPr="00D6259D">
        <w:rPr>
          <w:rFonts w:ascii="Arial" w:hAnsi="Arial" w:cs="Arial"/>
          <w:color w:val="010000"/>
          <w:sz w:val="20"/>
        </w:rPr>
        <w:t>VND</w:t>
      </w:r>
      <w:r w:rsidR="00E420B8" w:rsidRPr="00D6259D">
        <w:rPr>
          <w:rFonts w:ascii="Arial" w:hAnsi="Arial" w:cs="Arial"/>
          <w:color w:val="010000"/>
          <w:sz w:val="20"/>
        </w:rPr>
        <w:t>264</w:t>
      </w:r>
      <w:r w:rsidRPr="00D6259D">
        <w:rPr>
          <w:rFonts w:ascii="Arial" w:hAnsi="Arial" w:cs="Arial"/>
          <w:color w:val="010000"/>
          <w:sz w:val="20"/>
        </w:rPr>
        <w:t xml:space="preserve"> million (equivalent to the remuneration in 2023 approved by the General Meeting of Shareholders and requested for settlement approval).</w:t>
      </w:r>
    </w:p>
    <w:p w14:paraId="725B00A6" w14:textId="77777777" w:rsidR="0090704A" w:rsidRPr="00D6259D" w:rsidRDefault="00240323" w:rsidP="001869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In which:</w:t>
      </w:r>
    </w:p>
    <w:p w14:paraId="2834CB01" w14:textId="77777777" w:rsidR="0090704A" w:rsidRPr="00D6259D" w:rsidRDefault="00240323" w:rsidP="0018699B">
      <w:pPr>
        <w:numPr>
          <w:ilvl w:val="0"/>
          <w:numId w:val="6"/>
        </w:numPr>
        <w:pBdr>
          <w:top w:val="nil"/>
          <w:left w:val="nil"/>
          <w:bottom w:val="nil"/>
          <w:right w:val="nil"/>
          <w:between w:val="nil"/>
        </w:pBdr>
        <w:tabs>
          <w:tab w:val="left" w:pos="432"/>
          <w:tab w:val="left" w:pos="6254"/>
        </w:tabs>
        <w:spacing w:after="120" w:line="360" w:lineRule="auto"/>
        <w:ind w:left="0" w:firstLine="0"/>
        <w:rPr>
          <w:rFonts w:ascii="Arial" w:eastAsia="Arial" w:hAnsi="Arial" w:cs="Arial"/>
          <w:color w:val="010000"/>
          <w:sz w:val="20"/>
          <w:szCs w:val="20"/>
        </w:rPr>
      </w:pPr>
      <w:r w:rsidRPr="00D6259D">
        <w:rPr>
          <w:rFonts w:ascii="Arial" w:hAnsi="Arial" w:cs="Arial"/>
          <w:color w:val="010000"/>
          <w:sz w:val="20"/>
        </w:rPr>
        <w:t>Remuneration for members of the Board of Directors:</w:t>
      </w:r>
      <w:r w:rsidRPr="00D6259D">
        <w:rPr>
          <w:rFonts w:ascii="Arial" w:hAnsi="Arial" w:cs="Arial"/>
          <w:color w:val="010000"/>
          <w:sz w:val="20"/>
        </w:rPr>
        <w:tab/>
        <w:t>VND156 million</w:t>
      </w:r>
    </w:p>
    <w:p w14:paraId="0C5CB205" w14:textId="77777777" w:rsidR="0090704A" w:rsidRPr="00D6259D" w:rsidRDefault="00240323" w:rsidP="0018699B">
      <w:pPr>
        <w:numPr>
          <w:ilvl w:val="0"/>
          <w:numId w:val="6"/>
        </w:numPr>
        <w:pBdr>
          <w:top w:val="nil"/>
          <w:left w:val="nil"/>
          <w:bottom w:val="nil"/>
          <w:right w:val="nil"/>
          <w:between w:val="nil"/>
        </w:pBdr>
        <w:tabs>
          <w:tab w:val="left" w:pos="432"/>
          <w:tab w:val="left" w:pos="6254"/>
        </w:tabs>
        <w:spacing w:after="120" w:line="360" w:lineRule="auto"/>
        <w:ind w:left="0" w:firstLine="0"/>
        <w:rPr>
          <w:rFonts w:ascii="Arial" w:eastAsia="Arial" w:hAnsi="Arial" w:cs="Arial"/>
          <w:color w:val="010000"/>
          <w:sz w:val="20"/>
          <w:szCs w:val="20"/>
        </w:rPr>
      </w:pPr>
      <w:r w:rsidRPr="00D6259D">
        <w:rPr>
          <w:rFonts w:ascii="Arial" w:hAnsi="Arial" w:cs="Arial"/>
          <w:color w:val="010000"/>
          <w:sz w:val="20"/>
        </w:rPr>
        <w:t>Remuneration for members of the Supervisory Board:</w:t>
      </w:r>
      <w:r w:rsidRPr="00D6259D">
        <w:rPr>
          <w:rFonts w:ascii="Arial" w:hAnsi="Arial" w:cs="Arial"/>
          <w:color w:val="010000"/>
          <w:sz w:val="20"/>
        </w:rPr>
        <w:tab/>
        <w:t>VND96 million</w:t>
      </w:r>
    </w:p>
    <w:p w14:paraId="5B261653" w14:textId="77777777" w:rsidR="0090704A" w:rsidRPr="00D6259D" w:rsidRDefault="00240323" w:rsidP="0018699B">
      <w:pPr>
        <w:numPr>
          <w:ilvl w:val="0"/>
          <w:numId w:val="6"/>
        </w:numPr>
        <w:pBdr>
          <w:top w:val="nil"/>
          <w:left w:val="nil"/>
          <w:bottom w:val="nil"/>
          <w:right w:val="nil"/>
          <w:between w:val="nil"/>
        </w:pBdr>
        <w:tabs>
          <w:tab w:val="left" w:pos="432"/>
          <w:tab w:val="left" w:pos="6254"/>
        </w:tabs>
        <w:spacing w:after="120" w:line="360" w:lineRule="auto"/>
        <w:ind w:left="0" w:firstLine="0"/>
        <w:rPr>
          <w:rFonts w:ascii="Arial" w:eastAsia="Arial" w:hAnsi="Arial" w:cs="Arial"/>
          <w:color w:val="010000"/>
          <w:sz w:val="20"/>
          <w:szCs w:val="20"/>
        </w:rPr>
      </w:pPr>
      <w:r w:rsidRPr="00D6259D">
        <w:rPr>
          <w:rFonts w:ascii="Arial" w:hAnsi="Arial" w:cs="Arial"/>
          <w:color w:val="010000"/>
          <w:sz w:val="20"/>
        </w:rPr>
        <w:t>Remuneration for the Secretariat of the Company:</w:t>
      </w:r>
      <w:r w:rsidRPr="00D6259D">
        <w:rPr>
          <w:rFonts w:ascii="Arial" w:hAnsi="Arial" w:cs="Arial"/>
          <w:color w:val="010000"/>
          <w:sz w:val="20"/>
        </w:rPr>
        <w:tab/>
        <w:t>VND12 million.</w:t>
      </w:r>
    </w:p>
    <w:p w14:paraId="5F3343F2" w14:textId="77777777" w:rsidR="0090704A" w:rsidRPr="00D6259D" w:rsidRDefault="00240323" w:rsidP="001869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‎‎Article 7. Approve the selection of an audit company for the Financial Statements 2024.</w:t>
      </w:r>
    </w:p>
    <w:p w14:paraId="4CC273EE" w14:textId="77777777" w:rsidR="0090704A" w:rsidRPr="00D6259D" w:rsidRDefault="00240323" w:rsidP="001869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The General Meeting of Shareholders approved authorizing the Board of Directors of the Company to select one out of three following independent audit companies to audit and review the Financial Statements 2024:</w:t>
      </w:r>
    </w:p>
    <w:p w14:paraId="5AE64335" w14:textId="77777777" w:rsidR="0090704A" w:rsidRPr="00D6259D" w:rsidRDefault="00240323" w:rsidP="0018699B">
      <w:pPr>
        <w:numPr>
          <w:ilvl w:val="0"/>
          <w:numId w:val="3"/>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D6259D">
        <w:rPr>
          <w:rFonts w:ascii="Arial" w:hAnsi="Arial" w:cs="Arial"/>
          <w:color w:val="010000"/>
          <w:sz w:val="20"/>
        </w:rPr>
        <w:t>UHY Auditing and Consulting Company Limited.</w:t>
      </w:r>
    </w:p>
    <w:p w14:paraId="4EAD289C" w14:textId="77777777" w:rsidR="0090704A" w:rsidRPr="00D6259D" w:rsidRDefault="00240323" w:rsidP="0018699B">
      <w:pPr>
        <w:numPr>
          <w:ilvl w:val="0"/>
          <w:numId w:val="3"/>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D6259D">
        <w:rPr>
          <w:rFonts w:ascii="Arial" w:hAnsi="Arial" w:cs="Arial"/>
          <w:color w:val="010000"/>
          <w:sz w:val="20"/>
        </w:rPr>
        <w:t>CPA Vietnam Auditing Company Limited.</w:t>
      </w:r>
    </w:p>
    <w:p w14:paraId="63FBD923" w14:textId="77777777" w:rsidR="0090704A" w:rsidRPr="00D6259D" w:rsidRDefault="00240323" w:rsidP="0018699B">
      <w:pPr>
        <w:numPr>
          <w:ilvl w:val="0"/>
          <w:numId w:val="3"/>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D6259D">
        <w:rPr>
          <w:rFonts w:ascii="Arial" w:hAnsi="Arial" w:cs="Arial"/>
          <w:color w:val="010000"/>
          <w:sz w:val="20"/>
        </w:rPr>
        <w:t>AASC Auditing Firm Company Limited.</w:t>
      </w:r>
    </w:p>
    <w:p w14:paraId="4FC60634" w14:textId="77777777" w:rsidR="0090704A" w:rsidRPr="00D6259D" w:rsidRDefault="00240323" w:rsidP="001869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 xml:space="preserve">‎‎Article 8. The General Meeting of Shareholders assigned the Board of </w:t>
      </w:r>
      <w:r w:rsidR="00020D87" w:rsidRPr="00D6259D">
        <w:rPr>
          <w:rFonts w:ascii="Arial" w:hAnsi="Arial" w:cs="Arial"/>
          <w:color w:val="010000"/>
          <w:sz w:val="20"/>
          <w:lang w:val="vi-VN"/>
        </w:rPr>
        <w:t>Managers</w:t>
      </w:r>
      <w:r w:rsidRPr="00D6259D">
        <w:rPr>
          <w:rFonts w:ascii="Arial" w:hAnsi="Arial" w:cs="Arial"/>
          <w:color w:val="010000"/>
          <w:sz w:val="20"/>
        </w:rPr>
        <w:t>, the Supervisory Board of Construction And Industry Equipment Joint Stock Company - CIE1 to implement and monitor the implementation of the Annual General Mandate 2024 in accordance with the regulations.</w:t>
      </w:r>
    </w:p>
    <w:p w14:paraId="7AE8E7B5" w14:textId="77777777" w:rsidR="0090704A" w:rsidRPr="00D6259D" w:rsidRDefault="00240323" w:rsidP="001869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‎‎Article 9. This General Mandate was approved in full text by the Annual General Meeting of Shareholders of Construction And Industry Equipment Joint Stock Company - CIE1 on June 11, 2024.</w:t>
      </w:r>
    </w:p>
    <w:p w14:paraId="540DFD65" w14:textId="20F6A7A3" w:rsidR="0090704A" w:rsidRPr="00D6259D" w:rsidRDefault="00240323" w:rsidP="001869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6259D">
        <w:rPr>
          <w:rFonts w:ascii="Arial" w:hAnsi="Arial" w:cs="Arial"/>
          <w:color w:val="010000"/>
          <w:sz w:val="20"/>
        </w:rPr>
        <w:t xml:space="preserve">This General Mandate takes effect from the date of its signing </w:t>
      </w:r>
      <w:r w:rsidR="00D6259D" w:rsidRPr="00D6259D">
        <w:rPr>
          <w:rFonts w:ascii="Arial" w:hAnsi="Arial" w:cs="Arial"/>
          <w:color w:val="010000"/>
          <w:sz w:val="20"/>
        </w:rPr>
        <w:t xml:space="preserve">and </w:t>
      </w:r>
      <w:r w:rsidRPr="00D6259D">
        <w:rPr>
          <w:rFonts w:ascii="Arial" w:hAnsi="Arial" w:cs="Arial"/>
          <w:color w:val="010000"/>
          <w:sz w:val="20"/>
        </w:rPr>
        <w:t>issued by the Board of Directors.</w:t>
      </w:r>
    </w:p>
    <w:sectPr w:rsidR="0090704A" w:rsidRPr="00D6259D" w:rsidSect="0018699B">
      <w:pgSz w:w="11906" w:h="16838"/>
      <w:pgMar w:top="1440" w:right="1440" w:bottom="1440" w:left="1440" w:header="0" w:footer="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6D192" w14:textId="77777777" w:rsidR="00E001C6" w:rsidRDefault="00E001C6" w:rsidP="00D6259D">
      <w:r>
        <w:separator/>
      </w:r>
    </w:p>
  </w:endnote>
  <w:endnote w:type="continuationSeparator" w:id="0">
    <w:p w14:paraId="17DF1F9C" w14:textId="77777777" w:rsidR="00E001C6" w:rsidRDefault="00E001C6" w:rsidP="00D6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D01BB" w14:textId="77777777" w:rsidR="00E001C6" w:rsidRDefault="00E001C6" w:rsidP="00D6259D">
      <w:r>
        <w:separator/>
      </w:r>
    </w:p>
  </w:footnote>
  <w:footnote w:type="continuationSeparator" w:id="0">
    <w:p w14:paraId="3F1EA676" w14:textId="77777777" w:rsidR="00E001C6" w:rsidRDefault="00E001C6" w:rsidP="00D62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6C6"/>
    <w:multiLevelType w:val="multilevel"/>
    <w:tmpl w:val="BDEE074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1805D16"/>
    <w:multiLevelType w:val="hybridMultilevel"/>
    <w:tmpl w:val="871806A8"/>
    <w:lvl w:ilvl="0" w:tplc="7966D4B4">
      <w:start w:val="1"/>
      <w:numFmt w:val="bullet"/>
      <w:lvlRestart w:val="0"/>
      <w:lvlText w:val="+"/>
      <w:lvlJc w:val="left"/>
      <w:pPr>
        <w:ind w:left="0" w:firstLine="0"/>
      </w:pPr>
      <w:rPr>
        <w:rFonts w:ascii="Arial" w:hAnsi="Arial" w:cs="Arial" w:hint="default"/>
        <w:b w:val="0"/>
        <w:i w:val="0"/>
        <w:sz w:val="20"/>
      </w:rPr>
    </w:lvl>
    <w:lvl w:ilvl="1" w:tplc="BE64B03C" w:tentative="1">
      <w:start w:val="1"/>
      <w:numFmt w:val="bullet"/>
      <w:lvlText w:val="o"/>
      <w:lvlJc w:val="left"/>
      <w:pPr>
        <w:ind w:left="1440" w:hanging="360"/>
      </w:pPr>
      <w:rPr>
        <w:rFonts w:ascii="Courier New" w:hAnsi="Courier New" w:cs="Courier New" w:hint="default"/>
        <w:b w:val="0"/>
        <w:i w:val="0"/>
        <w:sz w:val="20"/>
      </w:rPr>
    </w:lvl>
    <w:lvl w:ilvl="2" w:tplc="C8201440"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F5970"/>
    <w:multiLevelType w:val="hybridMultilevel"/>
    <w:tmpl w:val="CA106332"/>
    <w:lvl w:ilvl="0" w:tplc="6B38AB90">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77F9C"/>
    <w:multiLevelType w:val="multilevel"/>
    <w:tmpl w:val="B526FAA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75B1A47"/>
    <w:multiLevelType w:val="hybridMultilevel"/>
    <w:tmpl w:val="8C147592"/>
    <w:lvl w:ilvl="0" w:tplc="6B38AB90">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A00BA"/>
    <w:multiLevelType w:val="multilevel"/>
    <w:tmpl w:val="78D047F8"/>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975F8F"/>
    <w:multiLevelType w:val="multilevel"/>
    <w:tmpl w:val="AA5AD9A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8B123BC"/>
    <w:multiLevelType w:val="multilevel"/>
    <w:tmpl w:val="D6EA5880"/>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F6542D9"/>
    <w:multiLevelType w:val="hybridMultilevel"/>
    <w:tmpl w:val="7C1EF652"/>
    <w:lvl w:ilvl="0" w:tplc="6B38AB90">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F6254C"/>
    <w:multiLevelType w:val="multilevel"/>
    <w:tmpl w:val="2A660C7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BB745EB"/>
    <w:multiLevelType w:val="hybridMultilevel"/>
    <w:tmpl w:val="07B275CE"/>
    <w:lvl w:ilvl="0" w:tplc="6B38AB90">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996E6E"/>
    <w:multiLevelType w:val="hybridMultilevel"/>
    <w:tmpl w:val="8AEC1EC0"/>
    <w:lvl w:ilvl="0" w:tplc="6B38AB90">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050BB7"/>
    <w:multiLevelType w:val="multilevel"/>
    <w:tmpl w:val="2116D51E"/>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0D34CBB"/>
    <w:multiLevelType w:val="hybridMultilevel"/>
    <w:tmpl w:val="B35EAB12"/>
    <w:lvl w:ilvl="0" w:tplc="6B38AB90">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27463C"/>
    <w:multiLevelType w:val="hybridMultilevel"/>
    <w:tmpl w:val="37CCF612"/>
    <w:lvl w:ilvl="0" w:tplc="6B38AB90">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278AA"/>
    <w:multiLevelType w:val="hybridMultilevel"/>
    <w:tmpl w:val="4A261D0E"/>
    <w:lvl w:ilvl="0" w:tplc="5A8E8C34">
      <w:start w:val="1"/>
      <w:numFmt w:val="bullet"/>
      <w:lvlRestart w:val="0"/>
      <w:lvlText w:val="+"/>
      <w:lvlJc w:val="left"/>
      <w:pPr>
        <w:ind w:left="0" w:firstLine="0"/>
      </w:pPr>
      <w:rPr>
        <w:rFonts w:ascii="Arial" w:hAnsi="Arial" w:cs="Arial" w:hint="default"/>
        <w:b w:val="0"/>
        <w:i w:val="0"/>
        <w:sz w:val="20"/>
      </w:rPr>
    </w:lvl>
    <w:lvl w:ilvl="1" w:tplc="92AC5338" w:tentative="1">
      <w:start w:val="1"/>
      <w:numFmt w:val="bullet"/>
      <w:lvlText w:val="o"/>
      <w:lvlJc w:val="left"/>
      <w:pPr>
        <w:ind w:left="1440" w:hanging="360"/>
      </w:pPr>
      <w:rPr>
        <w:rFonts w:ascii="Courier New" w:hAnsi="Courier New" w:cs="Courier New" w:hint="default"/>
        <w:b w:val="0"/>
        <w:i w:val="0"/>
        <w:sz w:val="20"/>
      </w:rPr>
    </w:lvl>
    <w:lvl w:ilvl="2" w:tplc="E722C9F0"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1918D5"/>
    <w:multiLevelType w:val="hybridMultilevel"/>
    <w:tmpl w:val="B9767ECA"/>
    <w:lvl w:ilvl="0" w:tplc="6B38AB90">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0"/>
  </w:num>
  <w:num w:numId="6">
    <w:abstractNumId w:val="12"/>
  </w:num>
  <w:num w:numId="7">
    <w:abstractNumId w:val="9"/>
  </w:num>
  <w:num w:numId="8">
    <w:abstractNumId w:val="1"/>
  </w:num>
  <w:num w:numId="9">
    <w:abstractNumId w:val="14"/>
  </w:num>
  <w:num w:numId="10">
    <w:abstractNumId w:val="15"/>
  </w:num>
  <w:num w:numId="11">
    <w:abstractNumId w:val="10"/>
  </w:num>
  <w:num w:numId="12">
    <w:abstractNumId w:val="13"/>
  </w:num>
  <w:num w:numId="13">
    <w:abstractNumId w:val="2"/>
  </w:num>
  <w:num w:numId="14">
    <w:abstractNumId w:val="16"/>
  </w:num>
  <w:num w:numId="15">
    <w:abstractNumId w:val="8"/>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04A"/>
    <w:rsid w:val="00020D87"/>
    <w:rsid w:val="0018699B"/>
    <w:rsid w:val="00240323"/>
    <w:rsid w:val="00441F74"/>
    <w:rsid w:val="0051794D"/>
    <w:rsid w:val="008A28C3"/>
    <w:rsid w:val="0090704A"/>
    <w:rsid w:val="00BA65A0"/>
    <w:rsid w:val="00D6259D"/>
    <w:rsid w:val="00E001C6"/>
    <w:rsid w:val="00E420B8"/>
    <w:rsid w:val="00F406F2"/>
    <w:rsid w:val="00FF0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9E9C5"/>
  <w15:docId w15:val="{73DC0A45-3022-42E1-AE45-9239647C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shd w:val="clear" w:color="auto" w:fill="auto"/>
    </w:rPr>
  </w:style>
  <w:style w:type="character" w:customStyle="1" w:styleId="Tableofcontents">
    <w:name w:val="Table of contents_"/>
    <w:basedOn w:val="DefaultParagraphFont"/>
    <w:link w:val="Tableofcontents0"/>
    <w:rPr>
      <w:rFonts w:ascii="Arial" w:eastAsia="Arial" w:hAnsi="Arial" w:cs="Arial"/>
      <w:b w:val="0"/>
      <w:bCs w:val="0"/>
      <w:i w:val="0"/>
      <w:iCs w:val="0"/>
      <w:smallCaps w:val="0"/>
      <w:strike w:val="0"/>
      <w:sz w:val="11"/>
      <w:szCs w:val="11"/>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strike w:val="0"/>
      <w:sz w:val="14"/>
      <w:szCs w:val="14"/>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8"/>
      <w:szCs w:val="28"/>
      <w:u w:val="none"/>
      <w:shd w:val="clear" w:color="auto" w:fill="auto"/>
    </w:rPr>
  </w:style>
  <w:style w:type="paragraph" w:customStyle="1" w:styleId="Bodytext20">
    <w:name w:val="Body text (2)"/>
    <w:basedOn w:val="Normal"/>
    <w:link w:val="Bodytext2"/>
    <w:pPr>
      <w:ind w:left="1300"/>
    </w:pPr>
    <w:rPr>
      <w:rFonts w:ascii="Arial" w:eastAsia="Arial" w:hAnsi="Arial" w:cs="Arial"/>
      <w:sz w:val="11"/>
      <w:szCs w:val="11"/>
    </w:rPr>
  </w:style>
  <w:style w:type="paragraph" w:customStyle="1" w:styleId="Tableofcontents0">
    <w:name w:val="Table of contents"/>
    <w:basedOn w:val="Normal"/>
    <w:link w:val="Tableofcontents"/>
    <w:pPr>
      <w:spacing w:line="185" w:lineRule="auto"/>
      <w:ind w:left="650"/>
    </w:pPr>
    <w:rPr>
      <w:rFonts w:ascii="Arial" w:eastAsia="Arial" w:hAnsi="Arial" w:cs="Arial"/>
      <w:sz w:val="11"/>
      <w:szCs w:val="11"/>
    </w:rPr>
  </w:style>
  <w:style w:type="paragraph" w:styleId="BodyText">
    <w:name w:val="Body Text"/>
    <w:basedOn w:val="Normal"/>
    <w:link w:val="BodyTextChar"/>
    <w:qFormat/>
    <w:pPr>
      <w:spacing w:line="283" w:lineRule="auto"/>
    </w:pPr>
    <w:rPr>
      <w:rFonts w:ascii="Times New Roman" w:eastAsia="Times New Roman" w:hAnsi="Times New Roman" w:cs="Times New Roman"/>
      <w:sz w:val="22"/>
      <w:szCs w:val="22"/>
    </w:rPr>
  </w:style>
  <w:style w:type="paragraph" w:customStyle="1" w:styleId="Bodytext50">
    <w:name w:val="Body text (5)"/>
    <w:basedOn w:val="Normal"/>
    <w:link w:val="Bodytext5"/>
    <w:pPr>
      <w:spacing w:line="204" w:lineRule="auto"/>
      <w:ind w:left="1300"/>
    </w:pPr>
    <w:rPr>
      <w:rFonts w:ascii="Arial" w:eastAsia="Arial" w:hAnsi="Arial" w:cs="Arial"/>
      <w:smallCaps/>
      <w:sz w:val="14"/>
      <w:szCs w:val="14"/>
    </w:rPr>
  </w:style>
  <w:style w:type="paragraph" w:customStyle="1" w:styleId="Bodytext30">
    <w:name w:val="Body text (3)"/>
    <w:basedOn w:val="Normal"/>
    <w:link w:val="Bodytext3"/>
    <w:pPr>
      <w:spacing w:line="223" w:lineRule="auto"/>
      <w:ind w:left="650"/>
    </w:pPr>
    <w:rPr>
      <w:rFonts w:ascii="Times New Roman" w:eastAsia="Times New Roman" w:hAnsi="Times New Roman" w:cs="Times New Roman"/>
      <w:b/>
      <w:bCs/>
      <w:sz w:val="26"/>
      <w:szCs w:val="26"/>
    </w:rPr>
  </w:style>
  <w:style w:type="paragraph" w:customStyle="1" w:styleId="Bodytext40">
    <w:name w:val="Body text (4)"/>
    <w:basedOn w:val="Normal"/>
    <w:link w:val="Bodytext4"/>
    <w:pPr>
      <w:spacing w:line="230" w:lineRule="auto"/>
      <w:ind w:firstLine="340"/>
    </w:pPr>
    <w:rPr>
      <w:rFonts w:ascii="Arial" w:eastAsia="Arial" w:hAnsi="Arial" w:cs="Arial"/>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FF080B"/>
    <w:pPr>
      <w:ind w:left="720"/>
      <w:contextualSpacing/>
    </w:pPr>
  </w:style>
  <w:style w:type="paragraph" w:styleId="Header">
    <w:name w:val="header"/>
    <w:basedOn w:val="Normal"/>
    <w:link w:val="HeaderChar"/>
    <w:uiPriority w:val="99"/>
    <w:unhideWhenUsed/>
    <w:rsid w:val="00D6259D"/>
    <w:pPr>
      <w:tabs>
        <w:tab w:val="center" w:pos="4513"/>
        <w:tab w:val="right" w:pos="9026"/>
      </w:tabs>
    </w:pPr>
  </w:style>
  <w:style w:type="character" w:customStyle="1" w:styleId="HeaderChar">
    <w:name w:val="Header Char"/>
    <w:basedOn w:val="DefaultParagraphFont"/>
    <w:link w:val="Header"/>
    <w:uiPriority w:val="99"/>
    <w:rsid w:val="00D6259D"/>
    <w:rPr>
      <w:color w:val="000000"/>
    </w:rPr>
  </w:style>
  <w:style w:type="paragraph" w:styleId="Footer">
    <w:name w:val="footer"/>
    <w:basedOn w:val="Normal"/>
    <w:link w:val="FooterChar"/>
    <w:uiPriority w:val="99"/>
    <w:unhideWhenUsed/>
    <w:rsid w:val="00D6259D"/>
    <w:pPr>
      <w:tabs>
        <w:tab w:val="center" w:pos="4513"/>
        <w:tab w:val="right" w:pos="9026"/>
      </w:tabs>
    </w:pPr>
  </w:style>
  <w:style w:type="character" w:customStyle="1" w:styleId="FooterChar">
    <w:name w:val="Footer Char"/>
    <w:basedOn w:val="DefaultParagraphFont"/>
    <w:link w:val="Footer"/>
    <w:uiPriority w:val="99"/>
    <w:rsid w:val="00D6259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1VKITU4cE82BhIloTtoSyVm5Zg==">CgMxLjA4AHIhMVp1VXo4cXI3N0FYTWJnQjcwLXJuVmtkRXdLRVdRZ181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849</Words>
  <Characters>4698</Characters>
  <Application>Microsoft Office Word</Application>
  <DocSecurity>0</DocSecurity>
  <Lines>151</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Minh Hiếu Kiều</cp:lastModifiedBy>
  <cp:revision>6</cp:revision>
  <dcterms:created xsi:type="dcterms:W3CDTF">2024-06-17T10:12:00Z</dcterms:created>
  <dcterms:modified xsi:type="dcterms:W3CDTF">2024-06-18T08:19:00Z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ae6e3698ea5b5917e2474ef1231b9b57753c43baeed5edf26843a3da5aff520a</vt:lpwstr>
  </property>
</Properties>
</file>