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06CA" w:rsidRPr="003E1118" w:rsidRDefault="00067FD4" w:rsidP="003C1636">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3E1118">
        <w:rPr>
          <w:rFonts w:ascii="Arial" w:hAnsi="Arial" w:cs="Arial"/>
          <w:b/>
          <w:color w:val="010000"/>
          <w:sz w:val="20"/>
        </w:rPr>
        <w:t>NED: Board Resolution</w:t>
      </w:r>
    </w:p>
    <w:p w14:paraId="00000002" w14:textId="77777777" w:rsidR="000406CA" w:rsidRPr="003E1118" w:rsidRDefault="00067FD4" w:rsidP="003C1636">
      <w:pPr>
        <w:spacing w:after="120" w:line="360" w:lineRule="auto"/>
        <w:rPr>
          <w:rFonts w:ascii="Arial" w:eastAsia="Arial" w:hAnsi="Arial" w:cs="Arial"/>
          <w:color w:val="010000"/>
          <w:sz w:val="20"/>
          <w:szCs w:val="20"/>
        </w:rPr>
      </w:pPr>
      <w:r w:rsidRPr="003E1118">
        <w:rPr>
          <w:rFonts w:ascii="Arial" w:hAnsi="Arial" w:cs="Arial"/>
          <w:color w:val="010000"/>
          <w:sz w:val="20"/>
        </w:rPr>
        <w:t>On June 17, 2024, North - West Electric Investment and Development Joint Stock Company announced Resolution No. 06-1/NQ-HDQT on approving the divestment of investment capital from Hoang Long Moc Chau Joint Stock Company as follows:</w:t>
      </w:r>
    </w:p>
    <w:p w14:paraId="00000003" w14:textId="77777777" w:rsidR="000406CA" w:rsidRPr="003E1118" w:rsidRDefault="00067FD4" w:rsidP="003C1636">
      <w:pPr>
        <w:pBdr>
          <w:top w:val="nil"/>
          <w:left w:val="nil"/>
          <w:bottom w:val="nil"/>
          <w:right w:val="nil"/>
          <w:between w:val="nil"/>
        </w:pBdr>
        <w:spacing w:after="120" w:line="360" w:lineRule="auto"/>
        <w:rPr>
          <w:rFonts w:ascii="Arial" w:eastAsia="Arial" w:hAnsi="Arial" w:cs="Arial"/>
          <w:color w:val="010000"/>
          <w:sz w:val="20"/>
          <w:szCs w:val="20"/>
        </w:rPr>
      </w:pPr>
      <w:r w:rsidRPr="003E1118">
        <w:rPr>
          <w:rFonts w:ascii="Arial" w:hAnsi="Arial" w:cs="Arial"/>
          <w:color w:val="010000"/>
          <w:sz w:val="20"/>
        </w:rPr>
        <w:t>‎‎Article 1. Approve the divestment of the entire investment capital from Hoang Long Moc Chau Joint Stock Company as follows:</w:t>
      </w:r>
    </w:p>
    <w:p w14:paraId="00000004"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Name of transferred shares: Shares of Hoang Long Moc Chau Joint Stock Company;</w:t>
      </w:r>
    </w:p>
    <w:p w14:paraId="00000005"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Type of shares: Common shares;</w:t>
      </w:r>
    </w:p>
    <w:p w14:paraId="00000006"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Par value: VND10,000/share;</w:t>
      </w:r>
    </w:p>
    <w:p w14:paraId="00000007"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Number of transferred shares: 3,105,000 shares;</w:t>
      </w:r>
    </w:p>
    <w:p w14:paraId="00000008"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Transferee of shares: Institutions or individuals with demands;</w:t>
      </w:r>
    </w:p>
    <w:p w14:paraId="00000009"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Transfer value: Not lower than investment value;</w:t>
      </w:r>
    </w:p>
    <w:p w14:paraId="0000000A"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Transfer purpose: To restructure investment;</w:t>
      </w:r>
    </w:p>
    <w:p w14:paraId="0000000B" w14:textId="77777777" w:rsidR="000406CA" w:rsidRPr="003E1118" w:rsidRDefault="00067FD4" w:rsidP="003C1636">
      <w:pPr>
        <w:numPr>
          <w:ilvl w:val="0"/>
          <w:numId w:val="1"/>
        </w:numPr>
        <w:pBdr>
          <w:top w:val="nil"/>
          <w:left w:val="nil"/>
          <w:bottom w:val="nil"/>
          <w:right w:val="nil"/>
          <w:between w:val="nil"/>
        </w:pBdr>
        <w:tabs>
          <w:tab w:val="left" w:pos="432"/>
          <w:tab w:val="left" w:pos="1937"/>
        </w:tabs>
        <w:spacing w:after="120" w:line="360" w:lineRule="auto"/>
        <w:rPr>
          <w:rFonts w:ascii="Arial" w:eastAsia="Arial" w:hAnsi="Arial" w:cs="Arial"/>
          <w:color w:val="010000"/>
          <w:sz w:val="20"/>
          <w:szCs w:val="20"/>
        </w:rPr>
      </w:pPr>
      <w:r w:rsidRPr="003E1118">
        <w:rPr>
          <w:rFonts w:ascii="Arial" w:hAnsi="Arial" w:cs="Arial"/>
          <w:color w:val="010000"/>
          <w:sz w:val="20"/>
        </w:rPr>
        <w:t>Implementation time: June 2024.</w:t>
      </w:r>
    </w:p>
    <w:p w14:paraId="0000000C" w14:textId="77777777" w:rsidR="000406CA" w:rsidRPr="003E1118" w:rsidRDefault="00067FD4" w:rsidP="003C1636">
      <w:pPr>
        <w:pBdr>
          <w:top w:val="nil"/>
          <w:left w:val="nil"/>
          <w:bottom w:val="nil"/>
          <w:right w:val="nil"/>
          <w:between w:val="nil"/>
        </w:pBdr>
        <w:spacing w:after="120" w:line="360" w:lineRule="auto"/>
        <w:rPr>
          <w:rFonts w:ascii="Arial" w:eastAsia="Arial" w:hAnsi="Arial" w:cs="Arial"/>
          <w:color w:val="010000"/>
          <w:sz w:val="20"/>
          <w:szCs w:val="20"/>
        </w:rPr>
      </w:pPr>
      <w:r w:rsidRPr="003E1118">
        <w:rPr>
          <w:rFonts w:ascii="Arial" w:hAnsi="Arial" w:cs="Arial"/>
          <w:color w:val="010000"/>
          <w:sz w:val="20"/>
        </w:rPr>
        <w:t>‎‎Article 2. The General Manager of the Company is assigned to find partners, negotiate and sign share transfer contracts and related documents according to the above approved contents in accordance with the provisions of law and ensure the interest of the Company.</w:t>
      </w:r>
    </w:p>
    <w:p w14:paraId="0000000D" w14:textId="77777777" w:rsidR="000406CA" w:rsidRPr="003E1118" w:rsidRDefault="00067FD4" w:rsidP="003C1636">
      <w:pPr>
        <w:pBdr>
          <w:top w:val="nil"/>
          <w:left w:val="nil"/>
          <w:bottom w:val="nil"/>
          <w:right w:val="nil"/>
          <w:between w:val="nil"/>
        </w:pBdr>
        <w:spacing w:after="120" w:line="360" w:lineRule="auto"/>
        <w:rPr>
          <w:rFonts w:ascii="Arial" w:eastAsia="Arial" w:hAnsi="Arial" w:cs="Arial"/>
          <w:color w:val="010000"/>
          <w:sz w:val="20"/>
          <w:szCs w:val="20"/>
        </w:rPr>
      </w:pPr>
      <w:r w:rsidRPr="003E1118">
        <w:rPr>
          <w:rFonts w:ascii="Arial" w:hAnsi="Arial" w:cs="Arial"/>
          <w:color w:val="010000"/>
          <w:sz w:val="20"/>
        </w:rPr>
        <w:t>‎‎Article 3. This Resolution takes effect from the date of its signing.</w:t>
      </w:r>
    </w:p>
    <w:p w14:paraId="0000000E" w14:textId="77777777" w:rsidR="000406CA" w:rsidRPr="003E1118" w:rsidRDefault="00067FD4" w:rsidP="003C1636">
      <w:pPr>
        <w:pBdr>
          <w:top w:val="nil"/>
          <w:left w:val="nil"/>
          <w:bottom w:val="nil"/>
          <w:right w:val="nil"/>
          <w:between w:val="nil"/>
        </w:pBdr>
        <w:spacing w:after="120" w:line="360" w:lineRule="auto"/>
        <w:rPr>
          <w:rFonts w:ascii="Arial" w:eastAsia="Arial" w:hAnsi="Arial" w:cs="Arial"/>
          <w:color w:val="010000"/>
          <w:sz w:val="20"/>
          <w:szCs w:val="20"/>
        </w:rPr>
      </w:pPr>
      <w:r w:rsidRPr="003E1118">
        <w:rPr>
          <w:rFonts w:ascii="Arial" w:hAnsi="Arial" w:cs="Arial"/>
          <w:color w:val="010000"/>
          <w:sz w:val="20"/>
        </w:rPr>
        <w:t>Members of the Board of Directors, the General Manager, the Supervisory Board, the Chief Accountant, the Heads of professional departments, and relevant individuals are responsible for implementing this Resolution.</w:t>
      </w:r>
    </w:p>
    <w:sectPr w:rsidR="000406CA" w:rsidRPr="003E1118" w:rsidSect="003C163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24CB"/>
    <w:multiLevelType w:val="multilevel"/>
    <w:tmpl w:val="7EA04F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CA"/>
    <w:rsid w:val="000406CA"/>
    <w:rsid w:val="00067FD4"/>
    <w:rsid w:val="00284065"/>
    <w:rsid w:val="003C1636"/>
    <w:rsid w:val="003E1118"/>
    <w:rsid w:val="0088032D"/>
    <w:rsid w:val="00C9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A47CC-1E0F-4E83-B169-173BA67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1515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51519"/>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5"/>
      <w:szCs w:val="15"/>
      <w:u w:val="none"/>
      <w:shd w:val="clear" w:color="auto" w:fill="auto"/>
    </w:rPr>
  </w:style>
  <w:style w:type="paragraph" w:styleId="BodyText">
    <w:name w:val="Body Text"/>
    <w:basedOn w:val="Normal"/>
    <w:link w:val="BodyTextChar"/>
    <w:qFormat/>
    <w:pPr>
      <w:spacing w:line="310" w:lineRule="auto"/>
    </w:pPr>
    <w:rPr>
      <w:rFonts w:ascii="Times New Roman" w:eastAsia="Times New Roman" w:hAnsi="Times New Roman" w:cs="Times New Roman"/>
      <w:color w:val="151519"/>
    </w:rPr>
  </w:style>
  <w:style w:type="paragraph" w:customStyle="1" w:styleId="Bodytext30">
    <w:name w:val="Body text (3)"/>
    <w:basedOn w:val="Normal"/>
    <w:link w:val="Bodytext3"/>
    <w:rPr>
      <w:rFonts w:ascii="Times New Roman" w:eastAsia="Times New Roman" w:hAnsi="Times New Roman" w:cs="Times New Roman"/>
      <w:color w:val="151519"/>
      <w:sz w:val="20"/>
      <w:szCs w:val="20"/>
    </w:rPr>
  </w:style>
  <w:style w:type="paragraph" w:customStyle="1" w:styleId="Bodytext40">
    <w:name w:val="Body text (4)"/>
    <w:basedOn w:val="Normal"/>
    <w:link w:val="Bodytext4"/>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14" w:lineRule="auto"/>
    </w:pPr>
    <w:rPr>
      <w:rFonts w:ascii="Times New Roman" w:eastAsia="Times New Roman" w:hAnsi="Times New Roman" w:cs="Times New Roman"/>
      <w:color w:val="FF0000"/>
      <w:sz w:val="15"/>
      <w:szCs w:val="15"/>
    </w:rPr>
  </w:style>
  <w:style w:type="character" w:styleId="Hyperlink">
    <w:name w:val="Hyperlink"/>
    <w:basedOn w:val="DefaultParagraphFont"/>
    <w:uiPriority w:val="99"/>
    <w:semiHidden/>
    <w:unhideWhenUsed/>
    <w:rsid w:val="00C6744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saA4TY7qtvF1lx2SPP2y416+A==">CgMxLjA4AHIhMXV0UFgzamRBbldvRkEzaGthVXczdFd6RG5EVFZ2YlFV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2024-06-19T03:36:00Z</dcterms:created>
  <dcterms:modified xsi:type="dcterms:W3CDTF">2024-06-19T03:36:00Z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85fc994956e92f48ba8f9535bcefb1a0435607deaf12664f6d9a13f5bf2b998c</vt:lpwstr>
  </property>
</Properties>
</file>