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6218" w14:textId="77777777" w:rsidR="00467CD5" w:rsidRPr="0083509F" w:rsidRDefault="008D586F" w:rsidP="00C62F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3509F">
        <w:rPr>
          <w:rFonts w:ascii="Arial" w:hAnsi="Arial" w:cs="Arial"/>
          <w:b/>
          <w:color w:val="010000"/>
          <w:sz w:val="20"/>
        </w:rPr>
        <w:t>CTC: Annual General Mandate 2024</w:t>
      </w:r>
    </w:p>
    <w:p w14:paraId="10A717CD" w14:textId="77777777" w:rsidR="00467CD5" w:rsidRPr="0083509F" w:rsidRDefault="008D586F" w:rsidP="00C62F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On June 14, 2024, Hoang Kim Tay Nguyen Group Joint Stock Company announced General Mandate No. 02/2024/CTC/NQ-DHDCD as follows:</w:t>
      </w:r>
    </w:p>
    <w:p w14:paraId="7548C838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‎‎Article 1. Approve the Report on the results of production and business activities 2023 of the Board of Management and the production and business plan for 2024</w:t>
      </w:r>
    </w:p>
    <w:p w14:paraId="043607C1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the Report on the results of production and business activities 2023 of the Board of Management and the production and business plan for 2024, specifically:</w:t>
      </w:r>
    </w:p>
    <w:p w14:paraId="27D430E3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a. Results of production and business activities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25"/>
        <w:gridCol w:w="1282"/>
        <w:gridCol w:w="1266"/>
        <w:gridCol w:w="1078"/>
        <w:gridCol w:w="1165"/>
      </w:tblGrid>
      <w:tr w:rsidR="00467CD5" w:rsidRPr="0083509F" w14:paraId="3326C213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429AB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F3740" w14:textId="5D23549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75995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47FF8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Differences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E3AF1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Rate</w:t>
            </w:r>
          </w:p>
          <w:p w14:paraId="4967EE1E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</w:tr>
      <w:tr w:rsidR="00467CD5" w:rsidRPr="0083509F" w14:paraId="7614EE99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0302F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 Net revenue from goods sales and service provision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580BF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39,310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8FB06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9,588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2F4A4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(29,722)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FFAC9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-76%</w:t>
            </w:r>
          </w:p>
        </w:tc>
      </w:tr>
      <w:tr w:rsidR="00467CD5" w:rsidRPr="0083509F" w14:paraId="294478C7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24DE8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2. Cost of goods sold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38D89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33,257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9627E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11,291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42536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(21,966)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44D41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-66%</w:t>
            </w:r>
          </w:p>
        </w:tc>
      </w:tr>
      <w:tr w:rsidR="00467CD5" w:rsidRPr="0083509F" w14:paraId="778A32C3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A2CAE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3. Gross profit from goods sale and services provision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0E681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6,052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7ADCB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(1,702)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310CC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(7,754)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49F6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-128%</w:t>
            </w:r>
          </w:p>
        </w:tc>
      </w:tr>
      <w:tr w:rsidR="00467CD5" w:rsidRPr="0083509F" w14:paraId="751D39BD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A5F39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4. Revenue from financial activities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3D543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0.277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95717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0.147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EC8A0" w14:textId="109B24EE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-0.130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36F9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-47%</w:t>
            </w:r>
          </w:p>
        </w:tc>
      </w:tr>
      <w:tr w:rsidR="00467CD5" w:rsidRPr="0083509F" w14:paraId="066C6D90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CFCD8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5. Financial expenses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CEDF8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11,543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2148B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9,739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ADCF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-1,804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C63C6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-16%</w:t>
            </w:r>
          </w:p>
        </w:tc>
      </w:tr>
      <w:tr w:rsidR="00467CD5" w:rsidRPr="0083509F" w14:paraId="14F65206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3DD7F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6. Selling expenses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4FCBE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1,576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0FA4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979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EA6B3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-597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DF53F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-38%</w:t>
            </w:r>
          </w:p>
        </w:tc>
      </w:tr>
      <w:tr w:rsidR="00467CD5" w:rsidRPr="0083509F" w14:paraId="47D89A62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56561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7. General and administrative expense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F12B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832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E5743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1,481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6A28B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649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69C58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78%</w:t>
            </w:r>
          </w:p>
        </w:tc>
      </w:tr>
      <w:tr w:rsidR="00467CD5" w:rsidRPr="0083509F" w14:paraId="349540EE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78734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8. Net profit from business activities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ABB6B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(7,899)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4D66E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(13,901)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31CA5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-6,002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EA1E3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76%</w:t>
            </w:r>
          </w:p>
        </w:tc>
      </w:tr>
      <w:tr w:rsidR="00467CD5" w:rsidRPr="0083509F" w14:paraId="0398FC5E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8BE87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9. Other incomes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2399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935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8ACBF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3,689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8197D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2,754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6C53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295%</w:t>
            </w:r>
          </w:p>
        </w:tc>
      </w:tr>
      <w:tr w:rsidR="00467CD5" w:rsidRPr="0083509F" w14:paraId="2F6110F9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661C4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10. Other expenses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157D9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1,248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3E9C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4,590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CA894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3,342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BE01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268%</w:t>
            </w:r>
          </w:p>
        </w:tc>
      </w:tr>
      <w:tr w:rsidR="00467CD5" w:rsidRPr="0083509F" w14:paraId="4E2C08DF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4FDE5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11. Other profits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D0113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(1,238)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F094C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(901)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488D1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337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19C75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-27%</w:t>
            </w:r>
          </w:p>
        </w:tc>
      </w:tr>
      <w:tr w:rsidR="00467CD5" w:rsidRPr="0083509F" w14:paraId="149523A4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D4116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12. Total profit before tax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695F3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(9,138)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36484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(14,803)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4029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-5,665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4C84F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62%</w:t>
            </w:r>
          </w:p>
        </w:tc>
      </w:tr>
      <w:tr w:rsidR="00467CD5" w:rsidRPr="0083509F" w14:paraId="0ED0E0AE" w14:textId="77777777" w:rsidTr="00C62FB6">
        <w:tc>
          <w:tcPr>
            <w:tcW w:w="2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5131C" w14:textId="77777777" w:rsidR="00467CD5" w:rsidRPr="0083509F" w:rsidRDefault="008D586F" w:rsidP="00C6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15. Profit after tax</w:t>
            </w:r>
          </w:p>
        </w:tc>
        <w:tc>
          <w:tcPr>
            <w:tcW w:w="7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AEC6A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(9,138)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C9724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(16,303)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F2ADB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-7,165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BC0D1" w14:textId="77777777" w:rsidR="00467CD5" w:rsidRPr="0083509F" w:rsidRDefault="008D586F" w:rsidP="00004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78%</w:t>
            </w:r>
          </w:p>
        </w:tc>
      </w:tr>
    </w:tbl>
    <w:p w14:paraId="307425F3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b. Revenue and profit plan for 2024:</w:t>
      </w:r>
    </w:p>
    <w:p w14:paraId="72E0987E" w14:textId="77777777" w:rsidR="00467CD5" w:rsidRPr="0083509F" w:rsidRDefault="008D586F" w:rsidP="00C62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Net revenue: VND50 billion;</w:t>
      </w:r>
    </w:p>
    <w:p w14:paraId="2D4702F9" w14:textId="77777777" w:rsidR="00467CD5" w:rsidRPr="0083509F" w:rsidRDefault="008D586F" w:rsidP="00C62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Profit before tax: VND2 billion;</w:t>
      </w:r>
    </w:p>
    <w:p w14:paraId="1849E533" w14:textId="77777777" w:rsidR="00467CD5" w:rsidRPr="0083509F" w:rsidRDefault="008D586F" w:rsidP="00C62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Profit after tax: VND1.6 billion.</w:t>
      </w:r>
    </w:p>
    <w:p w14:paraId="65EA87BA" w14:textId="2AE4898A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Dividend payment plan: Based on the actual business situation submit to the General Meeting of Shareholders on the profit distribution 2024.</w:t>
      </w:r>
    </w:p>
    <w:p w14:paraId="7165DF3B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lastRenderedPageBreak/>
        <w:t>‎‎Article 2. Approve the Report of the Board of Directors in 2023 and the operating plan for 2024;</w:t>
      </w:r>
    </w:p>
    <w:p w14:paraId="6C31D384" w14:textId="55A95B60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the Report of the Board of Directors in 2023 and the plan for 2024.</w:t>
      </w:r>
    </w:p>
    <w:p w14:paraId="4E8C5D2C" w14:textId="1B50B0DE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Article 3. Approve the Report of the Supervisory Board in 2023 and the operating plan for 2024</w:t>
      </w:r>
    </w:p>
    <w:p w14:paraId="79DF4250" w14:textId="019DE9ED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the Report of the Supervisory Board in 2023 and the plan for 2024.</w:t>
      </w:r>
    </w:p>
    <w:p w14:paraId="04FFF565" w14:textId="4D7A03B8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Article 4</w:t>
      </w:r>
      <w:r w:rsidR="00787205" w:rsidRPr="0083509F">
        <w:rPr>
          <w:rFonts w:ascii="Arial" w:hAnsi="Arial" w:cs="Arial"/>
          <w:color w:val="010000"/>
          <w:sz w:val="20"/>
        </w:rPr>
        <w:t>.</w:t>
      </w:r>
      <w:r w:rsidRPr="0083509F">
        <w:rPr>
          <w:rFonts w:ascii="Arial" w:hAnsi="Arial" w:cs="Arial"/>
          <w:color w:val="010000"/>
          <w:sz w:val="20"/>
        </w:rPr>
        <w:t xml:space="preserve"> Approve the Audited Financial Statements 2023</w:t>
      </w:r>
    </w:p>
    <w:p w14:paraId="6A75E0C1" w14:textId="6B8228AA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the Audited Financial Statements 2023 of Hoang Kim Tay Nguyen Group Joint Stock Company which were audited by A&amp;C Auditing and Consulting Company Limited- Can Tho Branch.</w:t>
      </w:r>
    </w:p>
    <w:p w14:paraId="473C4DBD" w14:textId="2C578212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 xml:space="preserve">Article 5. Approve the plan on profit distribution and dividend payment </w:t>
      </w:r>
      <w:r w:rsidR="00004339">
        <w:rPr>
          <w:rFonts w:ascii="Arial" w:hAnsi="Arial" w:cs="Arial"/>
          <w:color w:val="010000"/>
          <w:sz w:val="20"/>
        </w:rPr>
        <w:t xml:space="preserve">for </w:t>
      </w:r>
      <w:r w:rsidRPr="0083509F">
        <w:rPr>
          <w:rFonts w:ascii="Arial" w:hAnsi="Arial" w:cs="Arial"/>
          <w:color w:val="010000"/>
          <w:sz w:val="20"/>
        </w:rPr>
        <w:t>2023, and the plan on profit distribution and dividend payment for 2024</w:t>
      </w:r>
    </w:p>
    <w:p w14:paraId="6F7F2EA3" w14:textId="3425B96B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 xml:space="preserve">The Meeting approved the plan on profit distribution and dividend payment </w:t>
      </w:r>
      <w:r w:rsidR="00004339">
        <w:rPr>
          <w:rFonts w:ascii="Arial" w:hAnsi="Arial" w:cs="Arial"/>
          <w:color w:val="010000"/>
          <w:sz w:val="20"/>
        </w:rPr>
        <w:t xml:space="preserve">for </w:t>
      </w:r>
      <w:r w:rsidRPr="0083509F">
        <w:rPr>
          <w:rFonts w:ascii="Arial" w:hAnsi="Arial" w:cs="Arial"/>
          <w:color w:val="010000"/>
          <w:sz w:val="20"/>
        </w:rPr>
        <w:t>2023, and the plan on profit distribution and dividend payment for 2024</w:t>
      </w:r>
      <w:bookmarkStart w:id="0" w:name="_GoBack"/>
      <w:bookmarkEnd w:id="0"/>
    </w:p>
    <w:p w14:paraId="3DA78E51" w14:textId="7D605777" w:rsidR="008D586F" w:rsidRPr="0083509F" w:rsidRDefault="008D586F" w:rsidP="00C62FB6">
      <w:pPr>
        <w:pStyle w:val="ListParagraph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bCs/>
          <w:color w:val="010000"/>
          <w:sz w:val="20"/>
        </w:rPr>
      </w:pPr>
      <w:r w:rsidRPr="0083509F">
        <w:rPr>
          <w:rFonts w:ascii="Arial" w:hAnsi="Arial" w:cs="Arial"/>
          <w:color w:val="010000"/>
          <w:sz w:val="20"/>
        </w:rPr>
        <w:t>Plan on profit distribution and dividend payment in 2023</w:t>
      </w:r>
    </w:p>
    <w:p w14:paraId="600B943D" w14:textId="7E32A00C" w:rsidR="008D586F" w:rsidRPr="00004339" w:rsidRDefault="008D586F" w:rsidP="00004339">
      <w:pPr>
        <w:tabs>
          <w:tab w:val="left" w:pos="432"/>
        </w:tabs>
        <w:spacing w:after="120" w:line="360" w:lineRule="auto"/>
        <w:jc w:val="right"/>
        <w:rPr>
          <w:rFonts w:ascii="Arial" w:eastAsia="Times New Roman" w:hAnsi="Arial" w:cs="Arial"/>
          <w:bCs/>
          <w:i/>
          <w:color w:val="010000"/>
          <w:sz w:val="20"/>
        </w:rPr>
      </w:pPr>
      <w:r w:rsidRPr="00004339">
        <w:rPr>
          <w:rFonts w:ascii="Arial" w:hAnsi="Arial" w:cs="Arial"/>
          <w:i/>
          <w:color w:val="010000"/>
          <w:sz w:val="20"/>
        </w:rPr>
        <w:t>Unit</w:t>
      </w:r>
      <w:r w:rsidR="0083509F" w:rsidRPr="00004339">
        <w:rPr>
          <w:rFonts w:ascii="Arial" w:hAnsi="Arial" w:cs="Arial"/>
          <w:i/>
          <w:color w:val="010000"/>
          <w:sz w:val="20"/>
        </w:rPr>
        <w:t>:</w:t>
      </w:r>
      <w:r w:rsidRPr="00004339">
        <w:rPr>
          <w:rFonts w:ascii="Arial" w:hAnsi="Arial" w:cs="Arial"/>
          <w:i/>
          <w:color w:val="010000"/>
          <w:sz w:val="20"/>
        </w:rPr>
        <w:t xml:space="preserve"> VND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6308"/>
        <w:gridCol w:w="1980"/>
      </w:tblGrid>
      <w:tr w:rsidR="008D586F" w:rsidRPr="0083509F" w14:paraId="72B2D502" w14:textId="77777777" w:rsidTr="00C62FB6">
        <w:tc>
          <w:tcPr>
            <w:tcW w:w="404" w:type="pct"/>
            <w:shd w:val="clear" w:color="auto" w:fill="auto"/>
            <w:vAlign w:val="center"/>
          </w:tcPr>
          <w:p w14:paraId="3742C7B2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17F3C1D9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7D604E90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8D586F" w:rsidRPr="0083509F" w14:paraId="3335D774" w14:textId="77777777" w:rsidTr="00C62FB6">
        <w:tc>
          <w:tcPr>
            <w:tcW w:w="404" w:type="pct"/>
            <w:shd w:val="clear" w:color="auto" w:fill="auto"/>
            <w:vAlign w:val="center"/>
          </w:tcPr>
          <w:p w14:paraId="51A2A0BE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6FD6BF8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Undistributed profit after tax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323E5DB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-54,429,211,135</w:t>
            </w:r>
          </w:p>
        </w:tc>
      </w:tr>
      <w:tr w:rsidR="008D586F" w:rsidRPr="0083509F" w14:paraId="3542C19E" w14:textId="77777777" w:rsidTr="00C62FB6">
        <w:tc>
          <w:tcPr>
            <w:tcW w:w="404" w:type="pct"/>
            <w:shd w:val="clear" w:color="auto" w:fill="auto"/>
            <w:vAlign w:val="center"/>
          </w:tcPr>
          <w:p w14:paraId="33974F43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4EC89A2D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Profit before tax 2023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0CF8C37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-16,303,408,536</w:t>
            </w:r>
          </w:p>
        </w:tc>
      </w:tr>
      <w:tr w:rsidR="008D586F" w:rsidRPr="0083509F" w14:paraId="659D2037" w14:textId="77777777" w:rsidTr="00C62FB6">
        <w:tc>
          <w:tcPr>
            <w:tcW w:w="404" w:type="pct"/>
            <w:shd w:val="clear" w:color="auto" w:fill="auto"/>
            <w:vAlign w:val="center"/>
          </w:tcPr>
          <w:p w14:paraId="5D0AA79C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7CCCEF83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Corporate income tax expense 2023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5D0D6308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D586F" w:rsidRPr="0083509F" w14:paraId="5825E6D9" w14:textId="77777777" w:rsidTr="00C62FB6">
        <w:tc>
          <w:tcPr>
            <w:tcW w:w="404" w:type="pct"/>
            <w:shd w:val="clear" w:color="auto" w:fill="auto"/>
            <w:vAlign w:val="center"/>
          </w:tcPr>
          <w:p w14:paraId="57E9D6EA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40E6AF4A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Profit after tax 2023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CDF9361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-16,303,408,536</w:t>
            </w:r>
          </w:p>
        </w:tc>
      </w:tr>
      <w:tr w:rsidR="008D586F" w:rsidRPr="0083509F" w14:paraId="6C8BB2EC" w14:textId="77777777" w:rsidTr="00C62FB6">
        <w:tc>
          <w:tcPr>
            <w:tcW w:w="404" w:type="pct"/>
            <w:shd w:val="clear" w:color="auto" w:fill="auto"/>
            <w:vAlign w:val="center"/>
          </w:tcPr>
          <w:p w14:paraId="4116015A" w14:textId="2F9A81FE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043EB077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Undistributed profit after tax as of December 31, 2022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740485BE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-38,125,802,599</w:t>
            </w:r>
          </w:p>
        </w:tc>
      </w:tr>
      <w:tr w:rsidR="008D586F" w:rsidRPr="0083509F" w14:paraId="31F2842F" w14:textId="77777777" w:rsidTr="00C62FB6">
        <w:tc>
          <w:tcPr>
            <w:tcW w:w="404" w:type="pct"/>
            <w:shd w:val="clear" w:color="auto" w:fill="auto"/>
            <w:vAlign w:val="center"/>
          </w:tcPr>
          <w:p w14:paraId="465BECF6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4F9E827E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Total distributed profit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0F00EF8C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8D586F" w:rsidRPr="0083509F" w14:paraId="5AF977EE" w14:textId="77777777" w:rsidTr="00C62FB6">
        <w:tc>
          <w:tcPr>
            <w:tcW w:w="404" w:type="pct"/>
            <w:shd w:val="clear" w:color="auto" w:fill="auto"/>
            <w:vAlign w:val="center"/>
          </w:tcPr>
          <w:p w14:paraId="3FC5CD00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22564F3F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42AD9FC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8D586F" w:rsidRPr="0083509F" w14:paraId="735EC7D3" w14:textId="77777777" w:rsidTr="00C62FB6">
        <w:tc>
          <w:tcPr>
            <w:tcW w:w="404" w:type="pct"/>
            <w:shd w:val="clear" w:color="auto" w:fill="auto"/>
            <w:vAlign w:val="center"/>
          </w:tcPr>
          <w:p w14:paraId="2F7AC811" w14:textId="77777777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145A0F84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Dividends payment 2023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5E11FE89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8D586F" w:rsidRPr="0083509F" w14:paraId="52E01232" w14:textId="77777777" w:rsidTr="00C62FB6">
        <w:tc>
          <w:tcPr>
            <w:tcW w:w="404" w:type="pct"/>
            <w:shd w:val="clear" w:color="auto" w:fill="auto"/>
            <w:vAlign w:val="center"/>
          </w:tcPr>
          <w:p w14:paraId="208E2F58" w14:textId="4FD303A5" w:rsidR="008D586F" w:rsidRPr="0083509F" w:rsidRDefault="008D586F" w:rsidP="0000433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09BB18D7" w14:textId="7732DBB3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Remaining accumulated undistributed profit after tax (3=1-2)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9B4A9B9" w14:textId="77777777" w:rsidR="008D586F" w:rsidRPr="0083509F" w:rsidRDefault="008D586F" w:rsidP="00C62FB6">
            <w:pPr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bCs/>
                <w:color w:val="010000"/>
                <w:sz w:val="20"/>
              </w:rPr>
            </w:pPr>
            <w:r w:rsidRPr="0083509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3F63A26B" w14:textId="1C7D4D20" w:rsidR="008D586F" w:rsidRPr="0083509F" w:rsidRDefault="008D586F" w:rsidP="00C62FB6">
      <w:pPr>
        <w:pStyle w:val="ListParagraph"/>
        <w:numPr>
          <w:ilvl w:val="0"/>
          <w:numId w:val="3"/>
        </w:numP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bCs/>
          <w:color w:val="010000"/>
          <w:sz w:val="20"/>
        </w:rPr>
      </w:pPr>
      <w:r w:rsidRPr="0083509F">
        <w:rPr>
          <w:rFonts w:ascii="Arial" w:hAnsi="Arial" w:cs="Arial"/>
          <w:color w:val="010000"/>
          <w:sz w:val="20"/>
        </w:rPr>
        <w:t>Plan on profit distribution and dividend payment 2024: Based on the actual business situation submit to the General Meeting of Shareholders on the profit distribution and dividend payment 2024.</w:t>
      </w:r>
    </w:p>
    <w:p w14:paraId="7D2D2164" w14:textId="0E047DE0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‎‎Article 6. Approve the total remuneration, salary, bonus</w:t>
      </w:r>
      <w:r w:rsidR="00787205" w:rsidRPr="0083509F">
        <w:rPr>
          <w:rFonts w:ascii="Arial" w:hAnsi="Arial" w:cs="Arial"/>
          <w:color w:val="010000"/>
          <w:sz w:val="20"/>
        </w:rPr>
        <w:t>,</w:t>
      </w:r>
      <w:r w:rsidRPr="0083509F">
        <w:rPr>
          <w:rFonts w:ascii="Arial" w:hAnsi="Arial" w:cs="Arial"/>
          <w:color w:val="010000"/>
          <w:sz w:val="20"/>
        </w:rPr>
        <w:t xml:space="preserve"> and other benefits of the Board of Directors and the Supervisory Board in 2023 and the plan for 2024</w:t>
      </w:r>
    </w:p>
    <w:p w14:paraId="4766F509" w14:textId="5CED9969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the remuneration, salary, bonus</w:t>
      </w:r>
      <w:r w:rsidR="00787205" w:rsidRPr="0083509F">
        <w:rPr>
          <w:rFonts w:ascii="Arial" w:hAnsi="Arial" w:cs="Arial"/>
          <w:color w:val="010000"/>
          <w:sz w:val="20"/>
        </w:rPr>
        <w:t>,</w:t>
      </w:r>
      <w:r w:rsidRPr="0083509F">
        <w:rPr>
          <w:rFonts w:ascii="Arial" w:hAnsi="Arial" w:cs="Arial"/>
          <w:color w:val="010000"/>
          <w:sz w:val="20"/>
        </w:rPr>
        <w:t xml:space="preserve"> and other benefits of the Board of Directors and the Supervisory Board in 2023 and the plan for 2024</w:t>
      </w:r>
    </w:p>
    <w:p w14:paraId="53D32FE9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Article 7. Approve on selecting an audit company for the Financial Statements 2024.</w:t>
      </w:r>
    </w:p>
    <w:p w14:paraId="67E1EF15" w14:textId="521EB1E5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 xml:space="preserve">The Meeting approved on selecting A&amp;C Auditing and Consulting Company Limited to review and/or </w:t>
      </w:r>
      <w:r w:rsidRPr="0083509F">
        <w:rPr>
          <w:rFonts w:ascii="Arial" w:hAnsi="Arial" w:cs="Arial"/>
          <w:color w:val="010000"/>
          <w:sz w:val="20"/>
        </w:rPr>
        <w:lastRenderedPageBreak/>
        <w:t>audit the Financial Statements 2024 of Hoang Kim Tay Nguyen Group Joint Stock Company.</w:t>
      </w:r>
    </w:p>
    <w:p w14:paraId="619DF8FB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Article 8: Approve the transactions between the Company with PDMR, affiliated persons</w:t>
      </w:r>
    </w:p>
    <w:p w14:paraId="046594CC" w14:textId="30273C3F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the transactions between Hoang Kim Tay Nguyen Group Joint Stock Company with PDMR, affiliated persons</w:t>
      </w:r>
    </w:p>
    <w:p w14:paraId="480A00E5" w14:textId="3567272D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Article 9: Approve on restructuring</w:t>
      </w:r>
      <w:r w:rsidR="00304CE2" w:rsidRPr="0083509F">
        <w:rPr>
          <w:rFonts w:ascii="Arial" w:hAnsi="Arial" w:cs="Arial"/>
          <w:color w:val="010000"/>
          <w:sz w:val="20"/>
        </w:rPr>
        <w:t xml:space="preserve"> </w:t>
      </w:r>
      <w:r w:rsidRPr="0083509F">
        <w:rPr>
          <w:rFonts w:ascii="Arial" w:hAnsi="Arial" w:cs="Arial"/>
          <w:color w:val="010000"/>
          <w:sz w:val="20"/>
        </w:rPr>
        <w:t xml:space="preserve">debts of Hoang Kim Tay Nguyen Group Joint Stock Company </w:t>
      </w:r>
    </w:p>
    <w:p w14:paraId="42D1202A" w14:textId="22233CBE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on</w:t>
      </w:r>
      <w:r w:rsidR="00304CE2" w:rsidRPr="0083509F">
        <w:rPr>
          <w:rFonts w:ascii="Arial" w:hAnsi="Arial" w:cs="Arial"/>
          <w:color w:val="010000"/>
          <w:sz w:val="20"/>
        </w:rPr>
        <w:t xml:space="preserve"> </w:t>
      </w:r>
      <w:r w:rsidRPr="0083509F">
        <w:rPr>
          <w:rFonts w:ascii="Arial" w:hAnsi="Arial" w:cs="Arial"/>
          <w:color w:val="010000"/>
          <w:sz w:val="20"/>
        </w:rPr>
        <w:t xml:space="preserve">restructuring </w:t>
      </w:r>
      <w:r w:rsidR="00787205" w:rsidRPr="0083509F">
        <w:rPr>
          <w:rFonts w:ascii="Arial" w:hAnsi="Arial" w:cs="Arial"/>
          <w:color w:val="010000"/>
          <w:sz w:val="20"/>
        </w:rPr>
        <w:t xml:space="preserve">of </w:t>
      </w:r>
      <w:r w:rsidRPr="0083509F">
        <w:rPr>
          <w:rFonts w:ascii="Arial" w:hAnsi="Arial" w:cs="Arial"/>
          <w:color w:val="010000"/>
          <w:sz w:val="20"/>
        </w:rPr>
        <w:t>debts and liquidating assets of Hoang Kim Tay Nguyen Group Joint Stock Company.</w:t>
      </w:r>
    </w:p>
    <w:p w14:paraId="6BCBD654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Article 10: Approve the personal and organizational loans from Hoang Kim Tay Nguyen Group Joint Stock Company.</w:t>
      </w:r>
    </w:p>
    <w:p w14:paraId="05EA4403" w14:textId="489ED7A1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the personal and organizational loans from Hoang Kim Tay Nguyen Group Joint Stock Company.</w:t>
      </w:r>
    </w:p>
    <w:p w14:paraId="073FE55C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Article 11: Terms of enforcement</w:t>
      </w:r>
    </w:p>
    <w:p w14:paraId="394EABBA" w14:textId="77777777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General Mandate was approved in full text at the Meeting and takes effect from the date of its signing.</w:t>
      </w:r>
    </w:p>
    <w:p w14:paraId="1A1EC5FB" w14:textId="2F6160D2" w:rsidR="00467CD5" w:rsidRPr="0083509F" w:rsidRDefault="008D586F" w:rsidP="00C62FB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509F">
        <w:rPr>
          <w:rFonts w:ascii="Arial" w:hAnsi="Arial" w:cs="Arial"/>
          <w:color w:val="010000"/>
          <w:sz w:val="20"/>
        </w:rPr>
        <w:t>The Meeting approved to assign the Board of Directors, the Supervisory Board</w:t>
      </w:r>
      <w:r w:rsidR="00787205" w:rsidRPr="0083509F">
        <w:rPr>
          <w:rFonts w:ascii="Arial" w:hAnsi="Arial" w:cs="Arial"/>
          <w:color w:val="010000"/>
          <w:sz w:val="20"/>
        </w:rPr>
        <w:t>,</w:t>
      </w:r>
      <w:r w:rsidRPr="0083509F">
        <w:rPr>
          <w:rFonts w:ascii="Arial" w:hAnsi="Arial" w:cs="Arial"/>
          <w:color w:val="010000"/>
          <w:sz w:val="20"/>
        </w:rPr>
        <w:t xml:space="preserve"> and the Board of Management to be responsible for disseminating, implementing</w:t>
      </w:r>
      <w:r w:rsidR="00787205" w:rsidRPr="0083509F">
        <w:rPr>
          <w:rFonts w:ascii="Arial" w:hAnsi="Arial" w:cs="Arial"/>
          <w:color w:val="010000"/>
          <w:sz w:val="20"/>
        </w:rPr>
        <w:t>,</w:t>
      </w:r>
      <w:r w:rsidRPr="0083509F">
        <w:rPr>
          <w:rFonts w:ascii="Arial" w:hAnsi="Arial" w:cs="Arial"/>
          <w:color w:val="010000"/>
          <w:sz w:val="20"/>
        </w:rPr>
        <w:t xml:space="preserve"> and monitoring the implementation as per this General Mandate.</w:t>
      </w:r>
    </w:p>
    <w:sectPr w:rsidR="00467CD5" w:rsidRPr="0083509F" w:rsidSect="00C62FB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26B8F"/>
    <w:multiLevelType w:val="multilevel"/>
    <w:tmpl w:val="5DCE0E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C06F42"/>
    <w:multiLevelType w:val="hybridMultilevel"/>
    <w:tmpl w:val="2D8A89F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466"/>
    <w:multiLevelType w:val="hybridMultilevel"/>
    <w:tmpl w:val="2256B496"/>
    <w:lvl w:ilvl="0" w:tplc="7E642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8094352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513A813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D5"/>
    <w:rsid w:val="00004339"/>
    <w:rsid w:val="00304CE2"/>
    <w:rsid w:val="00467CD5"/>
    <w:rsid w:val="00787205"/>
    <w:rsid w:val="0083509F"/>
    <w:rsid w:val="008D586F"/>
    <w:rsid w:val="00940975"/>
    <w:rsid w:val="009F6ABE"/>
    <w:rsid w:val="00C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F6BC6"/>
  <w15:docId w15:val="{4DED63E6-6395-4107-BB5E-F3315FF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29"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6B4BA"/>
      <w:w w:val="8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D6B4BA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1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Arial" w:eastAsia="Arial" w:hAnsi="Arial" w:cs="Arial"/>
      <w:color w:val="D6B4BA"/>
      <w:w w:val="80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187" w:lineRule="auto"/>
    </w:pPr>
    <w:rPr>
      <w:rFonts w:ascii="Arial" w:eastAsia="Arial" w:hAnsi="Arial" w:cs="Arial"/>
      <w:smallCaps/>
      <w:color w:val="D6B4BA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pacing w:line="271" w:lineRule="auto"/>
      <w:ind w:firstLine="18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71" w:lineRule="auto"/>
      <w:ind w:firstLine="52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line="180" w:lineRule="auto"/>
      <w:ind w:left="1200"/>
    </w:pPr>
    <w:rPr>
      <w:rFonts w:ascii="Arial" w:eastAsia="Arial" w:hAnsi="Arial" w:cs="Arial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16A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8D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aHwl83Om76LRPJbczyJCOW/Gqw==">CgMxLjA4AHIhMURGd0g2M0VMWk9aWjVheEh0bzJOTVgxTkw1RTA4SV8t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4017</Characters>
  <Application>Microsoft Office Word</Application>
  <DocSecurity>0</DocSecurity>
  <Lines>156</Lines>
  <Paragraphs>135</Paragraphs>
  <ScaleCrop>false</ScaleCrop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2024-06-18T03:20:00Z</dcterms:created>
  <dcterms:modified xsi:type="dcterms:W3CDTF">2024-06-20T08:13:00Z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ec5aa1898f520478a6e0acec75c69c257f778f1bf88aad4c1d038888983aa34b</vt:lpwstr>
  </property>
</Properties>
</file>