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80C62" w:rsidRPr="00CE669B" w:rsidRDefault="00FE0B67" w:rsidP="002C555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CE669B">
        <w:rPr>
          <w:rFonts w:ascii="Arial" w:hAnsi="Arial" w:cs="Arial"/>
          <w:b/>
          <w:color w:val="010000"/>
          <w:sz w:val="20"/>
        </w:rPr>
        <w:t>TNB: Board Resolution</w:t>
      </w:r>
    </w:p>
    <w:p w14:paraId="00000002" w14:textId="53E80A03" w:rsidR="00080C62" w:rsidRPr="00CE669B" w:rsidRDefault="00FE0B67" w:rsidP="002C555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669B">
        <w:rPr>
          <w:rFonts w:ascii="Arial" w:hAnsi="Arial" w:cs="Arial"/>
          <w:color w:val="010000"/>
          <w:sz w:val="20"/>
        </w:rPr>
        <w:t>On June 18, 2024, Nha Be Steel JSC announced Resolution No.</w:t>
      </w:r>
      <w:r w:rsidR="00CE669B">
        <w:rPr>
          <w:rFonts w:ascii="Arial" w:hAnsi="Arial" w:cs="Arial"/>
          <w:color w:val="010000"/>
          <w:sz w:val="20"/>
        </w:rPr>
        <w:t xml:space="preserve"> </w:t>
      </w:r>
      <w:r w:rsidRPr="00CE669B">
        <w:rPr>
          <w:rFonts w:ascii="Arial" w:hAnsi="Arial" w:cs="Arial"/>
          <w:color w:val="010000"/>
          <w:sz w:val="20"/>
        </w:rPr>
        <w:t xml:space="preserve">66/NQ-HDQT on the selection of the </w:t>
      </w:r>
      <w:r w:rsidR="00211DA3" w:rsidRPr="00CE669B">
        <w:rPr>
          <w:rFonts w:ascii="Arial" w:hAnsi="Arial" w:cs="Arial"/>
          <w:color w:val="010000"/>
          <w:sz w:val="20"/>
        </w:rPr>
        <w:t>independent audit c</w:t>
      </w:r>
      <w:r w:rsidRPr="00CE669B">
        <w:rPr>
          <w:rFonts w:ascii="Arial" w:hAnsi="Arial" w:cs="Arial"/>
          <w:color w:val="010000"/>
          <w:sz w:val="20"/>
        </w:rPr>
        <w:t>ompany 2024 as follows:</w:t>
      </w:r>
    </w:p>
    <w:p w14:paraId="00000003" w14:textId="77777777" w:rsidR="00080C62" w:rsidRPr="00CE669B" w:rsidRDefault="00FE0B67" w:rsidP="002C555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669B">
        <w:rPr>
          <w:rFonts w:ascii="Arial" w:hAnsi="Arial" w:cs="Arial"/>
          <w:color w:val="010000"/>
          <w:sz w:val="20"/>
        </w:rPr>
        <w:t xml:space="preserve">Article 1. Approve on the selection of AASC Auditing Firm Company Limited to audit for the Company 2024. </w:t>
      </w:r>
    </w:p>
    <w:p w14:paraId="00000004" w14:textId="2AB104BE" w:rsidR="00080C62" w:rsidRPr="00CE669B" w:rsidRDefault="00FE0B67" w:rsidP="002C555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CE669B">
        <w:rPr>
          <w:rFonts w:ascii="Arial" w:hAnsi="Arial" w:cs="Arial"/>
          <w:color w:val="010000"/>
          <w:sz w:val="20"/>
        </w:rPr>
        <w:t xml:space="preserve">Article 2. The Company’s Executive General Manager and the Company’s Chief Accountant take responsibility for implementing </w:t>
      </w:r>
      <w:r w:rsidR="00211DA3" w:rsidRPr="00CE669B">
        <w:rPr>
          <w:rFonts w:ascii="Arial" w:hAnsi="Arial" w:cs="Arial"/>
          <w:color w:val="010000"/>
          <w:sz w:val="20"/>
        </w:rPr>
        <w:t xml:space="preserve">the </w:t>
      </w:r>
      <w:r w:rsidRPr="00CE669B">
        <w:rPr>
          <w:rFonts w:ascii="Arial" w:hAnsi="Arial" w:cs="Arial"/>
          <w:color w:val="010000"/>
          <w:sz w:val="20"/>
        </w:rPr>
        <w:t xml:space="preserve">above contents in accordance with current regulations. </w:t>
      </w:r>
    </w:p>
    <w:sectPr w:rsidR="00080C62" w:rsidRPr="00CE669B" w:rsidSect="002C555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62"/>
    <w:rsid w:val="00080C62"/>
    <w:rsid w:val="00211DA3"/>
    <w:rsid w:val="002C5550"/>
    <w:rsid w:val="00A5364E"/>
    <w:rsid w:val="00AF391A"/>
    <w:rsid w:val="00CE669B"/>
    <w:rsid w:val="00ED0FC8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6506C"/>
  <w15:docId w15:val="{CB0AFEDA-EA41-4F4E-AA0E-44CB9E09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qwSwS1gsIlHNwzi/VmJYuSJseQ==">CgMxLjAyCGguZ2pkZ3hzOAByITFHcmItVzZudWhKNnRmdzU5TmgyMERDVXVEb1VUTXgtTA==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2024-06-20T09:45:00Z</dcterms:created>
  <dcterms:modified xsi:type="dcterms:W3CDTF">2024-06-20T09:45:00Z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63e232fce2309e6bbda6421b87264e67f54bbdb3716b09b9f1d47983b071770a</vt:lpwstr>
  </property>
</Properties>
</file>