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1E17"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r w:rsidRPr="00724D82">
        <w:rPr>
          <w:rFonts w:ascii="Arial" w:hAnsi="Arial" w:cs="Arial"/>
          <w:b/>
          <w:color w:val="010000"/>
          <w:sz w:val="20"/>
        </w:rPr>
        <w:t>APC: Annual General Mandate 2024</w:t>
      </w:r>
    </w:p>
    <w:p w14:paraId="46654A3F"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 xml:space="preserve">On April 26, 2024, An Phu Irradiation Joint Stock Company announced </w:t>
      </w:r>
      <w:r w:rsidR="00C67965" w:rsidRPr="00724D82">
        <w:rPr>
          <w:rFonts w:ascii="Arial" w:hAnsi="Arial" w:cs="Arial"/>
          <w:color w:val="010000"/>
          <w:sz w:val="20"/>
        </w:rPr>
        <w:t>General Mandate</w:t>
      </w:r>
      <w:r w:rsidRPr="00724D82">
        <w:rPr>
          <w:rFonts w:ascii="Arial" w:hAnsi="Arial" w:cs="Arial"/>
          <w:color w:val="010000"/>
          <w:sz w:val="20"/>
        </w:rPr>
        <w:t xml:space="preserve"> No. 01/NQ-DHDCD-API as follows:</w:t>
      </w:r>
    </w:p>
    <w:p w14:paraId="36DE3053"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Article 1: The Annual General Meeting of Shareholders approved the following contents:</w:t>
      </w:r>
    </w:p>
    <w:p w14:paraId="04F0A70A" w14:textId="77777777" w:rsidR="007D5513" w:rsidRPr="00724D82" w:rsidRDefault="006A09D2" w:rsidP="002D03CE">
      <w:pPr>
        <w:numPr>
          <w:ilvl w:val="0"/>
          <w:numId w:val="8"/>
        </w:numPr>
        <w:pBdr>
          <w:top w:val="nil"/>
          <w:left w:val="nil"/>
          <w:bottom w:val="nil"/>
          <w:right w:val="nil"/>
          <w:between w:val="nil"/>
        </w:pBdr>
        <w:tabs>
          <w:tab w:val="left" w:pos="432"/>
          <w:tab w:val="left" w:pos="461"/>
        </w:tabs>
        <w:spacing w:after="120" w:line="360" w:lineRule="auto"/>
        <w:jc w:val="both"/>
        <w:rPr>
          <w:rFonts w:ascii="Arial" w:eastAsia="Arial" w:hAnsi="Arial" w:cs="Arial"/>
          <w:color w:val="010000"/>
          <w:sz w:val="20"/>
          <w:szCs w:val="20"/>
        </w:rPr>
      </w:pPr>
      <w:r w:rsidRPr="00724D82">
        <w:rPr>
          <w:rFonts w:ascii="Arial" w:hAnsi="Arial" w:cs="Arial"/>
          <w:color w:val="010000"/>
          <w:sz w:val="20"/>
        </w:rPr>
        <w:t>Approve the Report of the General Manager in 2023</w:t>
      </w:r>
    </w:p>
    <w:p w14:paraId="1F44D7AB" w14:textId="77777777" w:rsidR="007D5513" w:rsidRPr="00724D82" w:rsidRDefault="006A09D2" w:rsidP="002D03CE">
      <w:pPr>
        <w:numPr>
          <w:ilvl w:val="0"/>
          <w:numId w:val="8"/>
        </w:numPr>
        <w:pBdr>
          <w:top w:val="nil"/>
          <w:left w:val="nil"/>
          <w:bottom w:val="nil"/>
          <w:right w:val="nil"/>
          <w:between w:val="nil"/>
        </w:pBdr>
        <w:tabs>
          <w:tab w:val="left" w:pos="403"/>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Approve the Report of the Board of Directors 2023</w:t>
      </w:r>
    </w:p>
    <w:p w14:paraId="2F1274F8" w14:textId="77777777" w:rsidR="007D5513" w:rsidRPr="00724D82" w:rsidRDefault="006A09D2" w:rsidP="002D03CE">
      <w:pPr>
        <w:numPr>
          <w:ilvl w:val="0"/>
          <w:numId w:val="8"/>
        </w:numPr>
        <w:pBdr>
          <w:top w:val="nil"/>
          <w:left w:val="nil"/>
          <w:bottom w:val="nil"/>
          <w:right w:val="nil"/>
          <w:between w:val="nil"/>
        </w:pBdr>
        <w:tabs>
          <w:tab w:val="left" w:pos="432"/>
          <w:tab w:val="left" w:pos="461"/>
        </w:tabs>
        <w:spacing w:after="120" w:line="360" w:lineRule="auto"/>
        <w:jc w:val="both"/>
        <w:rPr>
          <w:rFonts w:ascii="Arial" w:eastAsia="Arial" w:hAnsi="Arial" w:cs="Arial"/>
          <w:color w:val="010000"/>
          <w:sz w:val="20"/>
          <w:szCs w:val="20"/>
        </w:rPr>
      </w:pPr>
      <w:r w:rsidRPr="00724D82">
        <w:rPr>
          <w:rFonts w:ascii="Arial" w:hAnsi="Arial" w:cs="Arial"/>
          <w:color w:val="010000"/>
          <w:sz w:val="20"/>
        </w:rPr>
        <w:t>Approve the business results in 2023</w:t>
      </w:r>
    </w:p>
    <w:p w14:paraId="721E0A42" w14:textId="77777777" w:rsidR="007D5513" w:rsidRPr="00724D82" w:rsidRDefault="006A09D2" w:rsidP="002D03C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Total revenue: VND117,910,322,495</w:t>
      </w:r>
    </w:p>
    <w:p w14:paraId="057C80B7" w14:textId="77777777" w:rsidR="007D5513" w:rsidRPr="00724D82" w:rsidRDefault="006A09D2" w:rsidP="002D03C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Profit before tax: VND(34,943,736,177)</w:t>
      </w:r>
    </w:p>
    <w:p w14:paraId="14628DFA" w14:textId="77777777" w:rsidR="007D5513" w:rsidRPr="00724D82" w:rsidRDefault="006A09D2" w:rsidP="002D03C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Profit after tax: VND(35,609,056,361)</w:t>
      </w:r>
    </w:p>
    <w:p w14:paraId="23ED6AB7" w14:textId="76DB437E" w:rsidR="007D5513" w:rsidRPr="00724D82" w:rsidRDefault="006A09D2" w:rsidP="002D03CE">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Approve the Audited Financial Statements 2023</w:t>
      </w:r>
    </w:p>
    <w:p w14:paraId="6623BF7A" w14:textId="77777777" w:rsidR="007D5513" w:rsidRPr="00724D82" w:rsidRDefault="006A09D2" w:rsidP="002D03CE">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 xml:space="preserve">Approve the remuneration and bonuses </w:t>
      </w:r>
      <w:r w:rsidR="00C67965" w:rsidRPr="00724D82">
        <w:rPr>
          <w:rFonts w:ascii="Arial" w:hAnsi="Arial" w:cs="Arial"/>
          <w:color w:val="010000"/>
          <w:sz w:val="20"/>
        </w:rPr>
        <w:t>for</w:t>
      </w:r>
      <w:r w:rsidRPr="00724D82">
        <w:rPr>
          <w:rFonts w:ascii="Arial" w:hAnsi="Arial" w:cs="Arial"/>
          <w:color w:val="010000"/>
          <w:sz w:val="20"/>
        </w:rPr>
        <w:t xml:space="preserve"> the Board of Directors and the person in charge of corporate governance in 2023</w:t>
      </w:r>
    </w:p>
    <w:p w14:paraId="047592BA" w14:textId="77777777" w:rsidR="007D5513" w:rsidRPr="00724D82" w:rsidRDefault="006A09D2" w:rsidP="002D03CE">
      <w:pPr>
        <w:numPr>
          <w:ilvl w:val="0"/>
          <w:numId w:val="1"/>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sidRPr="00724D82">
        <w:rPr>
          <w:rFonts w:ascii="Arial" w:hAnsi="Arial" w:cs="Arial"/>
          <w:color w:val="010000"/>
          <w:sz w:val="20"/>
        </w:rPr>
        <w:t>Total remuneration for the Board of Directors and the person in charge of corporate governance:</w:t>
      </w:r>
      <w:r w:rsidR="005A2A1F" w:rsidRPr="00724D82">
        <w:rPr>
          <w:rFonts w:ascii="Arial" w:hAnsi="Arial" w:cs="Arial"/>
          <w:color w:val="010000"/>
          <w:sz w:val="20"/>
        </w:rPr>
        <w:t xml:space="preserve"> </w:t>
      </w:r>
      <w:r w:rsidRPr="00724D82">
        <w:rPr>
          <w:rFonts w:ascii="Arial" w:hAnsi="Arial" w:cs="Arial"/>
          <w:color w:val="010000"/>
          <w:sz w:val="20"/>
        </w:rPr>
        <w:t>VND1,008,000,000/year</w:t>
      </w:r>
    </w:p>
    <w:p w14:paraId="2D8A9029" w14:textId="77777777" w:rsidR="007D5513" w:rsidRPr="00724D82" w:rsidRDefault="006A09D2" w:rsidP="002D03CE">
      <w:pPr>
        <w:numPr>
          <w:ilvl w:val="0"/>
          <w:numId w:val="1"/>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724D82">
        <w:rPr>
          <w:rFonts w:ascii="Arial" w:hAnsi="Arial" w:cs="Arial"/>
          <w:color w:val="010000"/>
          <w:sz w:val="20"/>
        </w:rPr>
        <w:t>Bonuses for the Board of Directors and the person in charge of corporate governance:</w:t>
      </w:r>
      <w:r w:rsidR="005A2A1F" w:rsidRPr="00724D82">
        <w:rPr>
          <w:rFonts w:ascii="Arial" w:hAnsi="Arial" w:cs="Arial"/>
          <w:color w:val="010000"/>
          <w:sz w:val="20"/>
        </w:rPr>
        <w:t xml:space="preserve"> </w:t>
      </w:r>
      <w:r w:rsidRPr="00724D82">
        <w:rPr>
          <w:rFonts w:ascii="Arial" w:hAnsi="Arial" w:cs="Arial"/>
          <w:color w:val="010000"/>
          <w:sz w:val="20"/>
        </w:rPr>
        <w:t>VND84,000,000.</w:t>
      </w:r>
    </w:p>
    <w:p w14:paraId="37C93D47" w14:textId="77777777" w:rsidR="007D5513" w:rsidRPr="00724D82" w:rsidRDefault="006A09D2" w:rsidP="002D03CE">
      <w:pPr>
        <w:numPr>
          <w:ilvl w:val="1"/>
          <w:numId w:val="4"/>
        </w:numPr>
        <w:pBdr>
          <w:top w:val="nil"/>
          <w:left w:val="nil"/>
          <w:bottom w:val="nil"/>
          <w:right w:val="nil"/>
          <w:between w:val="nil"/>
        </w:pBdr>
        <w:tabs>
          <w:tab w:val="left" w:pos="432"/>
          <w:tab w:val="left" w:pos="95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Approve the plan on remuneration and bonuses payment for the Board of Directors and the person in charge of corporate governance in 2024.</w:t>
      </w:r>
    </w:p>
    <w:p w14:paraId="3E40921A" w14:textId="77777777" w:rsidR="007D5513" w:rsidRPr="00724D82" w:rsidRDefault="006A09D2" w:rsidP="002D03C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Total remuneration for the Board of Directors and the person in charge of corporate governance: VND1,008,000,000/year</w:t>
      </w:r>
    </w:p>
    <w:p w14:paraId="4E31C9F5" w14:textId="77777777" w:rsidR="007D5513" w:rsidRPr="00724D82" w:rsidRDefault="006A09D2" w:rsidP="002D03C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 xml:space="preserve">Bonuses for the Board of Directors and the person in charge of corporate governance: The plan will be set up and submitted to the General Meeting of Shareholders in the next term. </w:t>
      </w:r>
    </w:p>
    <w:p w14:paraId="671DA606" w14:textId="77777777" w:rsidR="007D5513" w:rsidRPr="00724D82" w:rsidRDefault="006A09D2" w:rsidP="002D03CE">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24D82">
        <w:rPr>
          <w:rFonts w:ascii="Arial" w:hAnsi="Arial" w:cs="Arial"/>
          <w:color w:val="010000"/>
          <w:sz w:val="20"/>
        </w:rPr>
        <w:t>Approve the Business Plan 2024.</w:t>
      </w:r>
    </w:p>
    <w:p w14:paraId="77773534" w14:textId="77777777" w:rsidR="007D5513" w:rsidRPr="00724D82" w:rsidRDefault="006A09D2" w:rsidP="002D03CE">
      <w:pPr>
        <w:numPr>
          <w:ilvl w:val="0"/>
          <w:numId w:val="2"/>
        </w:numPr>
        <w:pBdr>
          <w:top w:val="nil"/>
          <w:left w:val="nil"/>
          <w:bottom w:val="nil"/>
          <w:right w:val="nil"/>
          <w:between w:val="nil"/>
        </w:pBdr>
        <w:tabs>
          <w:tab w:val="left" w:pos="432"/>
          <w:tab w:val="left" w:pos="946"/>
          <w:tab w:val="left" w:pos="3284"/>
        </w:tabs>
        <w:spacing w:after="120" w:line="360" w:lineRule="auto"/>
        <w:jc w:val="both"/>
        <w:rPr>
          <w:rFonts w:ascii="Arial" w:eastAsia="Arial" w:hAnsi="Arial" w:cs="Arial"/>
          <w:color w:val="010000"/>
          <w:sz w:val="20"/>
          <w:szCs w:val="20"/>
        </w:rPr>
      </w:pPr>
      <w:r w:rsidRPr="00724D82">
        <w:rPr>
          <w:rFonts w:ascii="Arial" w:hAnsi="Arial" w:cs="Arial"/>
          <w:color w:val="010000"/>
          <w:sz w:val="20"/>
        </w:rPr>
        <w:t>Revenue</w:t>
      </w:r>
      <w:r w:rsidR="005A2A1F" w:rsidRPr="00724D82">
        <w:rPr>
          <w:rFonts w:ascii="Arial" w:hAnsi="Arial" w:cs="Arial"/>
          <w:color w:val="010000"/>
          <w:sz w:val="20"/>
        </w:rPr>
        <w:t>:</w:t>
      </w:r>
      <w:r w:rsidRPr="00724D82">
        <w:rPr>
          <w:rFonts w:ascii="Arial" w:hAnsi="Arial" w:cs="Arial"/>
          <w:color w:val="010000"/>
          <w:sz w:val="20"/>
        </w:rPr>
        <w:t xml:space="preserve"> VND168,107,713,784</w:t>
      </w:r>
    </w:p>
    <w:p w14:paraId="334103DA" w14:textId="77777777" w:rsidR="007D5513" w:rsidRPr="00724D82" w:rsidRDefault="006A09D2" w:rsidP="002D03CE">
      <w:pPr>
        <w:numPr>
          <w:ilvl w:val="0"/>
          <w:numId w:val="2"/>
        </w:numPr>
        <w:pBdr>
          <w:top w:val="nil"/>
          <w:left w:val="nil"/>
          <w:bottom w:val="nil"/>
          <w:right w:val="nil"/>
          <w:between w:val="nil"/>
        </w:pBdr>
        <w:tabs>
          <w:tab w:val="left" w:pos="432"/>
          <w:tab w:val="left" w:pos="946"/>
          <w:tab w:val="left" w:pos="3591"/>
        </w:tabs>
        <w:spacing w:after="120" w:line="360" w:lineRule="auto"/>
        <w:jc w:val="both"/>
        <w:rPr>
          <w:rFonts w:ascii="Arial" w:eastAsia="Arial" w:hAnsi="Arial" w:cs="Arial"/>
          <w:color w:val="010000"/>
          <w:sz w:val="20"/>
          <w:szCs w:val="20"/>
        </w:rPr>
      </w:pPr>
      <w:r w:rsidRPr="00724D82">
        <w:rPr>
          <w:rFonts w:ascii="Arial" w:hAnsi="Arial" w:cs="Arial"/>
          <w:color w:val="010000"/>
          <w:sz w:val="20"/>
        </w:rPr>
        <w:t>Profit before tax: VND1,219,154,559</w:t>
      </w:r>
    </w:p>
    <w:p w14:paraId="603D94B1" w14:textId="77777777" w:rsidR="007D5513" w:rsidRPr="00724D82" w:rsidRDefault="006A09D2" w:rsidP="002D03CE">
      <w:pPr>
        <w:numPr>
          <w:ilvl w:val="0"/>
          <w:numId w:val="2"/>
        </w:numPr>
        <w:pBdr>
          <w:top w:val="nil"/>
          <w:left w:val="nil"/>
          <w:bottom w:val="nil"/>
          <w:right w:val="nil"/>
          <w:between w:val="nil"/>
        </w:pBdr>
        <w:tabs>
          <w:tab w:val="left" w:pos="432"/>
          <w:tab w:val="left" w:pos="956"/>
          <w:tab w:val="left" w:pos="3255"/>
          <w:tab w:val="left" w:pos="3606"/>
        </w:tabs>
        <w:spacing w:after="120" w:line="360" w:lineRule="auto"/>
        <w:jc w:val="both"/>
        <w:rPr>
          <w:rFonts w:ascii="Arial" w:eastAsia="Arial" w:hAnsi="Arial" w:cs="Arial"/>
          <w:color w:val="010000"/>
          <w:sz w:val="20"/>
          <w:szCs w:val="20"/>
        </w:rPr>
      </w:pPr>
      <w:r w:rsidRPr="00724D82">
        <w:rPr>
          <w:rFonts w:ascii="Arial" w:hAnsi="Arial" w:cs="Arial"/>
          <w:color w:val="010000"/>
          <w:sz w:val="20"/>
        </w:rPr>
        <w:t>Profit after tax: VND975,323,647</w:t>
      </w:r>
    </w:p>
    <w:p w14:paraId="357E239E" w14:textId="77777777" w:rsidR="007D5513" w:rsidRPr="00724D82" w:rsidRDefault="006A09D2" w:rsidP="002D03CE">
      <w:pPr>
        <w:numPr>
          <w:ilvl w:val="0"/>
          <w:numId w:val="3"/>
        </w:numPr>
        <w:pBdr>
          <w:top w:val="nil"/>
          <w:left w:val="nil"/>
          <w:bottom w:val="nil"/>
          <w:right w:val="nil"/>
          <w:between w:val="nil"/>
        </w:pBdr>
        <w:tabs>
          <w:tab w:val="left" w:pos="432"/>
          <w:tab w:val="left" w:pos="517"/>
        </w:tabs>
        <w:spacing w:after="120" w:line="360" w:lineRule="auto"/>
        <w:jc w:val="both"/>
        <w:rPr>
          <w:rFonts w:ascii="Arial" w:eastAsia="Arial" w:hAnsi="Arial" w:cs="Arial"/>
          <w:color w:val="010000"/>
          <w:sz w:val="20"/>
          <w:szCs w:val="20"/>
        </w:rPr>
      </w:pPr>
      <w:r w:rsidRPr="00724D82">
        <w:rPr>
          <w:rFonts w:ascii="Arial" w:hAnsi="Arial" w:cs="Arial"/>
          <w:color w:val="010000"/>
          <w:sz w:val="20"/>
        </w:rPr>
        <w:t>Approve the selection of an audit company to audit the Financial Statement</w:t>
      </w:r>
      <w:r w:rsidR="00A8593A" w:rsidRPr="00724D82">
        <w:rPr>
          <w:rFonts w:ascii="Arial" w:hAnsi="Arial" w:cs="Arial"/>
          <w:color w:val="010000"/>
          <w:sz w:val="20"/>
        </w:rPr>
        <w:t>s</w:t>
      </w:r>
      <w:r w:rsidRPr="00724D82">
        <w:rPr>
          <w:rFonts w:ascii="Arial" w:hAnsi="Arial" w:cs="Arial"/>
          <w:color w:val="010000"/>
          <w:sz w:val="20"/>
        </w:rPr>
        <w:t xml:space="preserve"> 2024</w:t>
      </w:r>
    </w:p>
    <w:p w14:paraId="43292BA8"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 xml:space="preserve">Authorize the Board of Directors to select one audit company for the Financial Statements 2024 out of the list of audit companies that are licensed by the State Securities Commission to audit listed organizations. </w:t>
      </w:r>
    </w:p>
    <w:p w14:paraId="1D7C9BE8" w14:textId="77777777" w:rsidR="007D5513" w:rsidRPr="00724D82" w:rsidRDefault="006A09D2" w:rsidP="002D03CE">
      <w:pPr>
        <w:numPr>
          <w:ilvl w:val="0"/>
          <w:numId w:val="3"/>
        </w:numPr>
        <w:pBdr>
          <w:top w:val="nil"/>
          <w:left w:val="nil"/>
          <w:bottom w:val="nil"/>
          <w:right w:val="nil"/>
          <w:between w:val="nil"/>
        </w:pBdr>
        <w:tabs>
          <w:tab w:val="left" w:pos="432"/>
          <w:tab w:val="left" w:pos="541"/>
        </w:tabs>
        <w:spacing w:after="120" w:line="360" w:lineRule="auto"/>
        <w:jc w:val="both"/>
        <w:rPr>
          <w:rFonts w:ascii="Arial" w:eastAsia="Arial" w:hAnsi="Arial" w:cs="Arial"/>
          <w:color w:val="010000"/>
          <w:sz w:val="20"/>
          <w:szCs w:val="20"/>
        </w:rPr>
      </w:pPr>
      <w:r w:rsidRPr="00724D82">
        <w:rPr>
          <w:rFonts w:ascii="Arial" w:hAnsi="Arial" w:cs="Arial"/>
          <w:color w:val="010000"/>
          <w:sz w:val="20"/>
        </w:rPr>
        <w:t>Approve the dismissal and election of additional members of the Board of Directors for the term 2023-2028:</w:t>
      </w:r>
    </w:p>
    <w:p w14:paraId="5075DEE2" w14:textId="77777777" w:rsidR="007D5513" w:rsidRPr="00724D82" w:rsidRDefault="006A09D2" w:rsidP="002D03CE">
      <w:pPr>
        <w:numPr>
          <w:ilvl w:val="0"/>
          <w:numId w:val="5"/>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724D82">
        <w:rPr>
          <w:rFonts w:ascii="Arial" w:hAnsi="Arial" w:cs="Arial"/>
          <w:color w:val="010000"/>
          <w:sz w:val="20"/>
        </w:rPr>
        <w:lastRenderedPageBreak/>
        <w:t>Dismiss Ms. Pham Thi Luong from the position of member of the Board of Directors for the 2023-2028 term.</w:t>
      </w:r>
    </w:p>
    <w:p w14:paraId="54F46881" w14:textId="77777777" w:rsidR="007D5513" w:rsidRPr="00724D82" w:rsidRDefault="006A09D2" w:rsidP="002D03CE">
      <w:pPr>
        <w:numPr>
          <w:ilvl w:val="0"/>
          <w:numId w:val="5"/>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724D82">
        <w:rPr>
          <w:rFonts w:ascii="Arial" w:hAnsi="Arial" w:cs="Arial"/>
          <w:color w:val="010000"/>
          <w:sz w:val="20"/>
        </w:rPr>
        <w:t>Elect additional members of the Board of Directors: 01 (one) member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4032"/>
        <w:gridCol w:w="4449"/>
      </w:tblGrid>
      <w:tr w:rsidR="007D5513" w:rsidRPr="00724D82" w14:paraId="42D7968E" w14:textId="77777777" w:rsidTr="00001C06">
        <w:tc>
          <w:tcPr>
            <w:tcW w:w="297" w:type="pct"/>
            <w:shd w:val="clear" w:color="auto" w:fill="auto"/>
            <w:tcMar>
              <w:top w:w="0" w:type="dxa"/>
              <w:bottom w:w="0" w:type="dxa"/>
            </w:tcMar>
            <w:vAlign w:val="center"/>
          </w:tcPr>
          <w:p w14:paraId="3F5A05FD"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No.</w:t>
            </w:r>
          </w:p>
        </w:tc>
        <w:tc>
          <w:tcPr>
            <w:tcW w:w="2236" w:type="pct"/>
            <w:shd w:val="clear" w:color="auto" w:fill="auto"/>
            <w:tcMar>
              <w:top w:w="0" w:type="dxa"/>
              <w:bottom w:w="0" w:type="dxa"/>
            </w:tcMar>
            <w:vAlign w:val="center"/>
          </w:tcPr>
          <w:p w14:paraId="7BA48EAD"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Full name</w:t>
            </w:r>
          </w:p>
        </w:tc>
        <w:tc>
          <w:tcPr>
            <w:tcW w:w="2467" w:type="pct"/>
            <w:shd w:val="clear" w:color="auto" w:fill="auto"/>
            <w:tcMar>
              <w:top w:w="0" w:type="dxa"/>
              <w:bottom w:w="0" w:type="dxa"/>
            </w:tcMar>
            <w:vAlign w:val="center"/>
          </w:tcPr>
          <w:p w14:paraId="730285E5"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Position</w:t>
            </w:r>
          </w:p>
        </w:tc>
      </w:tr>
      <w:tr w:rsidR="007D5513" w:rsidRPr="00724D82" w14:paraId="57DDEA0E" w14:textId="77777777" w:rsidTr="00001C06">
        <w:tc>
          <w:tcPr>
            <w:tcW w:w="297" w:type="pct"/>
            <w:shd w:val="clear" w:color="auto" w:fill="auto"/>
            <w:tcMar>
              <w:top w:w="0" w:type="dxa"/>
              <w:bottom w:w="0" w:type="dxa"/>
            </w:tcMar>
            <w:vAlign w:val="center"/>
          </w:tcPr>
          <w:p w14:paraId="63B7A2DF"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1</w:t>
            </w:r>
          </w:p>
        </w:tc>
        <w:tc>
          <w:tcPr>
            <w:tcW w:w="2236" w:type="pct"/>
            <w:shd w:val="clear" w:color="auto" w:fill="auto"/>
            <w:tcMar>
              <w:top w:w="0" w:type="dxa"/>
              <w:bottom w:w="0" w:type="dxa"/>
            </w:tcMar>
            <w:vAlign w:val="center"/>
          </w:tcPr>
          <w:p w14:paraId="16F02453"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Ms. Tran Ngoc Tram</w:t>
            </w:r>
          </w:p>
        </w:tc>
        <w:tc>
          <w:tcPr>
            <w:tcW w:w="2467" w:type="pct"/>
            <w:shd w:val="clear" w:color="auto" w:fill="auto"/>
            <w:tcMar>
              <w:top w:w="0" w:type="dxa"/>
              <w:bottom w:w="0" w:type="dxa"/>
            </w:tcMar>
            <w:vAlign w:val="center"/>
          </w:tcPr>
          <w:p w14:paraId="15AE396E"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Independent member of the Board of Directors</w:t>
            </w:r>
          </w:p>
        </w:tc>
      </w:tr>
    </w:tbl>
    <w:p w14:paraId="776904A8" w14:textId="77777777" w:rsidR="007D5513" w:rsidRPr="00724D82" w:rsidRDefault="006A09D2" w:rsidP="002D03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4D82">
        <w:rPr>
          <w:rFonts w:ascii="Arial" w:hAnsi="Arial" w:cs="Arial"/>
          <w:color w:val="010000"/>
          <w:sz w:val="20"/>
        </w:rPr>
        <w:t>Article 2: The Meeting agreed to assign the Board of Directors and the Board of Management to take charge of implementing the contents approved at the Meeting following the Law and the Charter of An Phu Irradiation Joint Stock Company.</w:t>
      </w:r>
    </w:p>
    <w:sectPr w:rsidR="007D5513" w:rsidRPr="00724D82" w:rsidSect="008A32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4E50"/>
    <w:multiLevelType w:val="multilevel"/>
    <w:tmpl w:val="40AC804A"/>
    <w:lvl w:ilvl="0">
      <w:start w:val="8"/>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693CBD"/>
    <w:multiLevelType w:val="multilevel"/>
    <w:tmpl w:val="B0923E22"/>
    <w:lvl w:ilvl="0">
      <w:start w:val="1"/>
      <w:numFmt w:val="decimal"/>
      <w:lvlText w:val="1.%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7943862"/>
    <w:multiLevelType w:val="multilevel"/>
    <w:tmpl w:val="AFD4DE9C"/>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390303"/>
    <w:multiLevelType w:val="multilevel"/>
    <w:tmpl w:val="798EAC1A"/>
    <w:lvl w:ilvl="0">
      <w:start w:val="1"/>
      <w:numFmt w:val="bullet"/>
      <w:lvlText w:val="-"/>
      <w:lvlJc w:val="left"/>
      <w:pPr>
        <w:ind w:left="0" w:firstLine="0"/>
      </w:pPr>
      <w:rPr>
        <w:rFonts w:ascii="Arial" w:eastAsia="Arial" w:hAnsi="Arial" w:cs="Arial"/>
        <w:b w:val="0"/>
        <w:i w:val="0"/>
        <w:smallCaps w:val="0"/>
        <w:strike w:val="0"/>
        <w:color w:val="62686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5937DD8"/>
    <w:multiLevelType w:val="multilevel"/>
    <w:tmpl w:val="581EFDC8"/>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280235"/>
    <w:multiLevelType w:val="multilevel"/>
    <w:tmpl w:val="97B8ED9E"/>
    <w:lvl w:ilvl="0">
      <w:start w:val="1"/>
      <w:numFmt w:val="bullet"/>
      <w:lvlText w:val="-"/>
      <w:lvlJc w:val="left"/>
      <w:pPr>
        <w:ind w:left="0" w:firstLine="0"/>
      </w:pPr>
      <w:rPr>
        <w:rFonts w:ascii="Arial" w:eastAsia="Arial" w:hAnsi="Arial" w:cs="Arial"/>
        <w:b w:val="0"/>
        <w:i w:val="0"/>
        <w:smallCaps w:val="0"/>
        <w:strike w:val="0"/>
        <w:color w:val="62686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D3C495A"/>
    <w:multiLevelType w:val="multilevel"/>
    <w:tmpl w:val="2050180A"/>
    <w:lvl w:ilvl="0">
      <w:start w:val="1"/>
      <w:numFmt w:val="decimal"/>
      <w:lvlText w:val="%1"/>
      <w:lvlJc w:val="left"/>
      <w:pPr>
        <w:ind w:left="360" w:hanging="360"/>
      </w:pPr>
      <w:rPr>
        <w:b w:val="0"/>
        <w:i w:val="0"/>
        <w:sz w:val="20"/>
      </w:rPr>
    </w:lvl>
    <w:lvl w:ilvl="1">
      <w:start w:val="4"/>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EC34790"/>
    <w:multiLevelType w:val="multilevel"/>
    <w:tmpl w:val="61B02F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0"/>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13"/>
    <w:rsid w:val="00001C06"/>
    <w:rsid w:val="001D193B"/>
    <w:rsid w:val="002D03CE"/>
    <w:rsid w:val="005A2A1F"/>
    <w:rsid w:val="006A09D2"/>
    <w:rsid w:val="00724D82"/>
    <w:rsid w:val="007D5513"/>
    <w:rsid w:val="008A32F3"/>
    <w:rsid w:val="00A8593A"/>
    <w:rsid w:val="00A9118B"/>
    <w:rsid w:val="00C6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5B0FE"/>
  <w15:docId w15:val="{CCBE6AB9-934C-47DD-A14B-76C1B5B0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E2C2F"/>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E2C2F"/>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color w:val="1E2C2F"/>
    </w:rPr>
  </w:style>
  <w:style w:type="paragraph" w:customStyle="1" w:styleId="Tiu10">
    <w:name w:val="Tiêu đề #1"/>
    <w:basedOn w:val="Normal"/>
    <w:link w:val="Tiu1"/>
    <w:pPr>
      <w:jc w:val="center"/>
      <w:outlineLvl w:val="0"/>
    </w:pPr>
    <w:rPr>
      <w:rFonts w:ascii="Arial" w:eastAsia="Arial" w:hAnsi="Arial" w:cs="Arial"/>
      <w:sz w:val="26"/>
      <w:szCs w:val="26"/>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Khc0">
    <w:name w:val="Khác"/>
    <w:basedOn w:val="Normal"/>
    <w:link w:val="Khc"/>
    <w:pPr>
      <w:spacing w:line="276" w:lineRule="auto"/>
    </w:pPr>
    <w:rPr>
      <w:rFonts w:ascii="Times New Roman" w:eastAsia="Times New Roman" w:hAnsi="Times New Roman" w:cs="Times New Roman"/>
      <w:color w:val="1E2C2F"/>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40">
    <w:name w:val="Văn bản nội dung (4)"/>
    <w:basedOn w:val="Normal"/>
    <w:link w:val="Vnbnnidung4"/>
    <w:pPr>
      <w:jc w:val="center"/>
    </w:pPr>
    <w:rPr>
      <w:rFonts w:ascii="Arial" w:eastAsia="Arial" w:hAnsi="Arial" w:cs="Arial"/>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yQaCFuKLWK5uD3VoPi+4oWkVw==">CgMxLjA4AHIhMW1PdEhQS0ZYSWZ2eUZSRmJRYnZwd1dNS3hTVGQ2b0ZE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Le Thi Thanh</dc:creator>
  <cp:lastModifiedBy>Tram Le Thi Thanh</cp:lastModifiedBy>
  <cp:revision>2</cp:revision>
  <dcterms:created xsi:type="dcterms:W3CDTF">2024-06-21T08:04:00Z</dcterms:created>
  <dcterms:modified xsi:type="dcterms:W3CDTF">2024-06-21T08:04:00Z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598e2cf6d07eff78212bf14047cb8b38f5ebf55181adecb7d32d9db0c465e004</vt:lpwstr>
  </property>
</Properties>
</file>