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F73F4" w14:textId="77777777" w:rsidR="00067985" w:rsidRPr="003F76E1" w:rsidRDefault="005D17FE" w:rsidP="0037373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F76E1">
        <w:rPr>
          <w:rFonts w:ascii="Arial" w:hAnsi="Arial" w:cs="Arial"/>
          <w:b/>
          <w:color w:val="010000"/>
          <w:sz w:val="20"/>
        </w:rPr>
        <w:t>CEG: Annual General Mandate 2024</w:t>
      </w:r>
    </w:p>
    <w:p w14:paraId="78B04C4D" w14:textId="13D77AF3" w:rsidR="00067985" w:rsidRPr="003F76E1" w:rsidRDefault="005D17FE" w:rsidP="0037373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On June 11, 2024, Construction And Industry Equipment Group Corporation announced Resolution No.</w:t>
      </w:r>
      <w:r w:rsidR="00930B7B" w:rsidRPr="003F76E1">
        <w:rPr>
          <w:rFonts w:ascii="Arial" w:hAnsi="Arial" w:cs="Arial"/>
          <w:color w:val="010000"/>
          <w:sz w:val="20"/>
        </w:rPr>
        <w:t xml:space="preserve"> </w:t>
      </w:r>
      <w:r w:rsidRPr="003F76E1">
        <w:rPr>
          <w:rFonts w:ascii="Arial" w:hAnsi="Arial" w:cs="Arial"/>
          <w:color w:val="010000"/>
          <w:sz w:val="20"/>
        </w:rPr>
        <w:t xml:space="preserve">47/2024/NQ-DHDCD as follows: </w:t>
      </w:r>
    </w:p>
    <w:p w14:paraId="1E6C1F0F" w14:textId="4C947034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Article 1. Approve the report of </w:t>
      </w:r>
      <w:r w:rsidR="00930B7B" w:rsidRPr="003F76E1">
        <w:rPr>
          <w:rFonts w:ascii="Arial" w:hAnsi="Arial" w:cs="Arial"/>
          <w:color w:val="010000"/>
          <w:sz w:val="20"/>
        </w:rPr>
        <w:t xml:space="preserve">the </w:t>
      </w:r>
      <w:r w:rsidRPr="003F76E1">
        <w:rPr>
          <w:rFonts w:ascii="Arial" w:hAnsi="Arial" w:cs="Arial"/>
          <w:color w:val="010000"/>
          <w:sz w:val="20"/>
        </w:rPr>
        <w:t>General Manager on operational results 2023 and orientation 2024 with the following main contents:</w:t>
      </w:r>
    </w:p>
    <w:p w14:paraId="34F04A4E" w14:textId="77777777" w:rsidR="00067985" w:rsidRPr="003F76E1" w:rsidRDefault="005D17FE" w:rsidP="003737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Approve the production and business results 2023</w:t>
      </w:r>
    </w:p>
    <w:p w14:paraId="015F7399" w14:textId="77777777" w:rsidR="00067985" w:rsidRPr="003F76E1" w:rsidRDefault="005D17FE" w:rsidP="003737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Production and business results 2023</w:t>
      </w:r>
      <w:r w:rsidR="0037799F" w:rsidRPr="003F76E1">
        <w:rPr>
          <w:rFonts w:ascii="Arial" w:hAnsi="Arial" w:cs="Arial"/>
          <w:color w:val="010000"/>
          <w:sz w:val="20"/>
        </w:rPr>
        <w:t xml:space="preserve"> of the holding c</w:t>
      </w:r>
      <w:r w:rsidRPr="003F76E1">
        <w:rPr>
          <w:rFonts w:ascii="Arial" w:hAnsi="Arial" w:cs="Arial"/>
          <w:color w:val="010000"/>
          <w:sz w:val="20"/>
        </w:rPr>
        <w:t xml:space="preserve">ompany: </w:t>
      </w:r>
    </w:p>
    <w:p w14:paraId="45E25F37" w14:textId="77777777" w:rsidR="00067985" w:rsidRPr="003F76E1" w:rsidRDefault="005D17FE" w:rsidP="00373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1"/>
          <w:tab w:val="left" w:pos="59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Total revenue: VND5,041,424,260;</w:t>
      </w:r>
    </w:p>
    <w:p w14:paraId="186BA863" w14:textId="77777777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In which:</w:t>
      </w:r>
    </w:p>
    <w:p w14:paraId="75279004" w14:textId="77777777" w:rsidR="00067985" w:rsidRPr="003F76E1" w:rsidRDefault="005D17FE" w:rsidP="003737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33"/>
          <w:tab w:val="left" w:pos="59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Revenue from production and business activities VND2,233,663,902;</w:t>
      </w:r>
    </w:p>
    <w:p w14:paraId="09CCD02F" w14:textId="77777777" w:rsidR="00067985" w:rsidRPr="003F76E1" w:rsidRDefault="005D17FE" w:rsidP="003737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33"/>
          <w:tab w:val="left" w:pos="59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Revenue from financial investment:</w:t>
      </w:r>
      <w:r w:rsidR="0051358D" w:rsidRPr="003F76E1">
        <w:rPr>
          <w:rFonts w:ascii="Arial" w:hAnsi="Arial" w:cs="Arial"/>
          <w:color w:val="010000"/>
          <w:sz w:val="20"/>
        </w:rPr>
        <w:t xml:space="preserve"> </w:t>
      </w:r>
      <w:r w:rsidRPr="003F76E1">
        <w:rPr>
          <w:rFonts w:ascii="Arial" w:hAnsi="Arial" w:cs="Arial"/>
          <w:color w:val="010000"/>
          <w:sz w:val="20"/>
        </w:rPr>
        <w:t>VND2,807,760,358;</w:t>
      </w:r>
    </w:p>
    <w:p w14:paraId="115B4FC1" w14:textId="77777777" w:rsidR="00067985" w:rsidRPr="003F76E1" w:rsidRDefault="005D17FE" w:rsidP="00373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1"/>
          <w:tab w:val="left" w:pos="59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Profit after tax: VND-7,106,023,545;</w:t>
      </w:r>
    </w:p>
    <w:p w14:paraId="770F46D2" w14:textId="77777777" w:rsidR="00067985" w:rsidRPr="003F76E1" w:rsidRDefault="005D17FE" w:rsidP="00373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1"/>
          <w:tab w:val="left" w:pos="59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Expected dividends: 5%;</w:t>
      </w:r>
    </w:p>
    <w:p w14:paraId="201CF0D5" w14:textId="77777777" w:rsidR="00067985" w:rsidRPr="003F76E1" w:rsidRDefault="005D17FE" w:rsidP="00373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1"/>
          <w:tab w:val="left" w:pos="59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Total salary fund: VND574,618,000</w:t>
      </w:r>
    </w:p>
    <w:p w14:paraId="114FEFAD" w14:textId="77777777" w:rsidR="00067985" w:rsidRPr="003F76E1" w:rsidRDefault="005D17FE" w:rsidP="00373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1"/>
          <w:tab w:val="left" w:pos="59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Undistributed profit after tax accumulated by December 31, 2023:</w:t>
      </w:r>
      <w:r w:rsidR="0051358D" w:rsidRPr="003F76E1">
        <w:rPr>
          <w:rFonts w:ascii="Arial" w:hAnsi="Arial" w:cs="Arial"/>
          <w:color w:val="010000"/>
          <w:sz w:val="20"/>
        </w:rPr>
        <w:t xml:space="preserve"> </w:t>
      </w:r>
      <w:r w:rsidRPr="003F76E1">
        <w:rPr>
          <w:rFonts w:ascii="Arial" w:hAnsi="Arial" w:cs="Arial"/>
          <w:color w:val="010000"/>
          <w:sz w:val="20"/>
        </w:rPr>
        <w:t>VND4,008,502,514</w:t>
      </w:r>
    </w:p>
    <w:p w14:paraId="42AA8096" w14:textId="77777777" w:rsidR="00067985" w:rsidRPr="003F76E1" w:rsidRDefault="005D17FE" w:rsidP="00373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6"/>
          <w:tab w:val="left" w:pos="59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The total Revenue from production and business activities of the Corporation:</w:t>
      </w:r>
      <w:r w:rsidR="0051358D" w:rsidRPr="003F76E1">
        <w:rPr>
          <w:rFonts w:ascii="Arial" w:hAnsi="Arial" w:cs="Arial"/>
          <w:color w:val="010000"/>
          <w:sz w:val="20"/>
        </w:rPr>
        <w:t xml:space="preserve"> </w:t>
      </w:r>
      <w:r w:rsidRPr="003F76E1">
        <w:rPr>
          <w:rFonts w:ascii="Arial" w:hAnsi="Arial" w:cs="Arial"/>
          <w:color w:val="010000"/>
          <w:sz w:val="20"/>
        </w:rPr>
        <w:t>VND96,348,659,902</w:t>
      </w:r>
    </w:p>
    <w:p w14:paraId="2213D1F0" w14:textId="42B15283" w:rsidR="00067985" w:rsidRPr="003F76E1" w:rsidRDefault="005D17FE" w:rsidP="003737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Production and </w:t>
      </w:r>
      <w:r w:rsidR="0037373E">
        <w:rPr>
          <w:rFonts w:ascii="Arial" w:hAnsi="Arial" w:cs="Arial"/>
          <w:color w:val="010000"/>
          <w:sz w:val="20"/>
        </w:rPr>
        <w:t>Business Plan</w:t>
      </w:r>
      <w:r w:rsidRPr="003F76E1">
        <w:rPr>
          <w:rFonts w:ascii="Arial" w:hAnsi="Arial" w:cs="Arial"/>
          <w:color w:val="010000"/>
          <w:sz w:val="20"/>
        </w:rPr>
        <w:t xml:space="preserve"> 2024 of the Holding </w:t>
      </w:r>
      <w:r w:rsidR="0037373E">
        <w:rPr>
          <w:rFonts w:ascii="Arial" w:hAnsi="Arial" w:cs="Arial"/>
          <w:color w:val="010000"/>
          <w:sz w:val="20"/>
        </w:rPr>
        <w:t>Company</w:t>
      </w:r>
      <w:r w:rsidRPr="003F76E1">
        <w:rPr>
          <w:rFonts w:ascii="Arial" w:hAnsi="Arial" w:cs="Arial"/>
          <w:color w:val="010000"/>
          <w:sz w:val="20"/>
        </w:rPr>
        <w:t xml:space="preserve"> </w:t>
      </w:r>
    </w:p>
    <w:p w14:paraId="6D6996B0" w14:textId="77777777" w:rsidR="00067985" w:rsidRPr="003F76E1" w:rsidRDefault="005D17FE" w:rsidP="00373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3"/>
          <w:tab w:val="center" w:pos="5914"/>
          <w:tab w:val="right" w:pos="7303"/>
          <w:tab w:val="right" w:pos="78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Total revenue: VND5,000,000,000</w:t>
      </w:r>
    </w:p>
    <w:p w14:paraId="06C6C81D" w14:textId="77777777" w:rsidR="00067985" w:rsidRPr="003F76E1" w:rsidRDefault="005D17FE" w:rsidP="00373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3"/>
          <w:tab w:val="center" w:pos="5914"/>
          <w:tab w:val="right" w:pos="7303"/>
          <w:tab w:val="right" w:pos="78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Profit after tax: VND1,000,000,000</w:t>
      </w:r>
    </w:p>
    <w:p w14:paraId="12F7C2DA" w14:textId="77777777" w:rsidR="00067985" w:rsidRPr="003F76E1" w:rsidRDefault="005D17FE" w:rsidP="00373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3"/>
          <w:tab w:val="center" w:pos="5914"/>
          <w:tab w:val="right" w:pos="7303"/>
          <w:tab w:val="right" w:pos="78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Expected dividends: 5%;</w:t>
      </w:r>
    </w:p>
    <w:p w14:paraId="45FACF28" w14:textId="77777777" w:rsidR="00067985" w:rsidRPr="003F76E1" w:rsidRDefault="005D17FE" w:rsidP="00373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3"/>
          <w:tab w:val="center" w:pos="5914"/>
          <w:tab w:val="right" w:pos="7303"/>
          <w:tab w:val="right" w:pos="78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Total salary fund: VND650</w:t>
      </w:r>
      <w:proofErr w:type="gramStart"/>
      <w:r w:rsidRPr="003F76E1">
        <w:rPr>
          <w:rFonts w:ascii="Arial" w:hAnsi="Arial" w:cs="Arial"/>
          <w:color w:val="010000"/>
          <w:sz w:val="20"/>
        </w:rPr>
        <w:t>,000,000</w:t>
      </w:r>
      <w:proofErr w:type="gramEnd"/>
      <w:r w:rsidRPr="003F76E1">
        <w:rPr>
          <w:rFonts w:ascii="Arial" w:hAnsi="Arial" w:cs="Arial"/>
          <w:color w:val="010000"/>
          <w:sz w:val="20"/>
        </w:rPr>
        <w:t>.</w:t>
      </w:r>
    </w:p>
    <w:p w14:paraId="41EA0095" w14:textId="27B73240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‎‎Article 2. Approve </w:t>
      </w:r>
      <w:r w:rsidR="0037373E">
        <w:rPr>
          <w:rFonts w:ascii="Arial" w:hAnsi="Arial" w:cs="Arial"/>
          <w:color w:val="010000"/>
          <w:sz w:val="20"/>
        </w:rPr>
        <w:t xml:space="preserve">the </w:t>
      </w:r>
      <w:r w:rsidRPr="003F76E1">
        <w:rPr>
          <w:rFonts w:ascii="Arial" w:hAnsi="Arial" w:cs="Arial"/>
          <w:color w:val="010000"/>
          <w:sz w:val="20"/>
        </w:rPr>
        <w:t>Report of the Board of Directors on the governance, operational activities 2023</w:t>
      </w:r>
      <w:r w:rsidR="0037373E">
        <w:rPr>
          <w:rFonts w:ascii="Arial" w:hAnsi="Arial" w:cs="Arial"/>
          <w:color w:val="010000"/>
          <w:sz w:val="20"/>
        </w:rPr>
        <w:t>,</w:t>
      </w:r>
      <w:r w:rsidRPr="003F76E1">
        <w:rPr>
          <w:rFonts w:ascii="Arial" w:hAnsi="Arial" w:cs="Arial"/>
          <w:color w:val="010000"/>
          <w:sz w:val="20"/>
        </w:rPr>
        <w:t xml:space="preserve"> and Plan 2024 at the Annual General Meeting of Shareholders 2024. </w:t>
      </w:r>
    </w:p>
    <w:p w14:paraId="49251FCE" w14:textId="77777777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Article 3. Approve the Report of the Supervisory Board at the</w:t>
      </w:r>
      <w:r w:rsidR="0051358D" w:rsidRPr="003F76E1">
        <w:rPr>
          <w:rFonts w:ascii="Arial" w:hAnsi="Arial" w:cs="Arial"/>
          <w:color w:val="010000"/>
          <w:sz w:val="20"/>
        </w:rPr>
        <w:t xml:space="preserve"> </w:t>
      </w:r>
      <w:r w:rsidRPr="003F76E1">
        <w:rPr>
          <w:rFonts w:ascii="Arial" w:hAnsi="Arial" w:cs="Arial"/>
          <w:color w:val="010000"/>
          <w:sz w:val="20"/>
        </w:rPr>
        <w:t xml:space="preserve">Annual General Meeting of Shareholders 2024. </w:t>
      </w:r>
    </w:p>
    <w:p w14:paraId="30420D36" w14:textId="77777777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Article 4. Approve audited Financial Statements 2023 </w:t>
      </w:r>
    </w:p>
    <w:p w14:paraId="71018F41" w14:textId="3A0F7FBE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‎‎Article 5. Approve remuneration payment 2023 of the Board of Directors, </w:t>
      </w:r>
      <w:r w:rsidR="0037373E">
        <w:rPr>
          <w:rFonts w:ascii="Arial" w:hAnsi="Arial" w:cs="Arial"/>
          <w:color w:val="010000"/>
          <w:sz w:val="20"/>
        </w:rPr>
        <w:t xml:space="preserve">and </w:t>
      </w:r>
      <w:r w:rsidRPr="003F76E1">
        <w:rPr>
          <w:rFonts w:ascii="Arial" w:hAnsi="Arial" w:cs="Arial"/>
          <w:color w:val="010000"/>
          <w:sz w:val="20"/>
        </w:rPr>
        <w:t xml:space="preserve">the Supervisory Board and propose remuneration level 2024 for the Board of Directors and the Supervisory Board: </w:t>
      </w:r>
    </w:p>
    <w:p w14:paraId="63E1AB1F" w14:textId="77777777" w:rsidR="00067985" w:rsidRPr="003F76E1" w:rsidRDefault="005D17FE" w:rsidP="00373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Remuneration of the Board of Directors and </w:t>
      </w:r>
      <w:r w:rsidR="0037799F" w:rsidRPr="003F76E1">
        <w:rPr>
          <w:rFonts w:ascii="Arial" w:hAnsi="Arial" w:cs="Arial"/>
          <w:color w:val="010000"/>
          <w:sz w:val="20"/>
        </w:rPr>
        <w:t xml:space="preserve">the </w:t>
      </w:r>
      <w:r w:rsidRPr="003F76E1">
        <w:rPr>
          <w:rFonts w:ascii="Arial" w:hAnsi="Arial" w:cs="Arial"/>
          <w:color w:val="010000"/>
          <w:sz w:val="20"/>
        </w:rPr>
        <w:t>Supervisory Board in 2023</w:t>
      </w:r>
    </w:p>
    <w:p w14:paraId="636E9D80" w14:textId="77777777" w:rsidR="00067985" w:rsidRPr="003F76E1" w:rsidRDefault="005D17FE" w:rsidP="0037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Chair of the Board of Directors</w:t>
      </w:r>
      <w:r w:rsidR="0037799F" w:rsidRPr="003F76E1">
        <w:rPr>
          <w:rFonts w:ascii="Arial" w:hAnsi="Arial" w:cs="Arial"/>
          <w:color w:val="010000"/>
          <w:sz w:val="20"/>
        </w:rPr>
        <w:t>:</w:t>
      </w:r>
      <w:r w:rsidRPr="003F76E1">
        <w:rPr>
          <w:rFonts w:ascii="Arial" w:hAnsi="Arial" w:cs="Arial"/>
          <w:color w:val="010000"/>
          <w:sz w:val="20"/>
        </w:rPr>
        <w:t xml:space="preserve"> VND6,000,000/month</w:t>
      </w:r>
    </w:p>
    <w:p w14:paraId="259D1E27" w14:textId="77777777" w:rsidR="00067985" w:rsidRPr="003F76E1" w:rsidRDefault="005D17FE" w:rsidP="0037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Members of the Board of Directors:</w:t>
      </w:r>
      <w:r w:rsidR="0051358D" w:rsidRPr="003F76E1">
        <w:rPr>
          <w:rFonts w:ascii="Arial" w:hAnsi="Arial" w:cs="Arial"/>
          <w:color w:val="010000"/>
          <w:sz w:val="20"/>
        </w:rPr>
        <w:t xml:space="preserve"> </w:t>
      </w:r>
      <w:r w:rsidRPr="003F76E1">
        <w:rPr>
          <w:rFonts w:ascii="Arial" w:hAnsi="Arial" w:cs="Arial"/>
          <w:color w:val="010000"/>
          <w:sz w:val="20"/>
        </w:rPr>
        <w:t>VND4</w:t>
      </w:r>
      <w:proofErr w:type="gramStart"/>
      <w:r w:rsidRPr="003F76E1">
        <w:rPr>
          <w:rFonts w:ascii="Arial" w:hAnsi="Arial" w:cs="Arial"/>
          <w:color w:val="010000"/>
          <w:sz w:val="20"/>
        </w:rPr>
        <w:t>,500,000</w:t>
      </w:r>
      <w:proofErr w:type="gramEnd"/>
      <w:r w:rsidRPr="003F76E1">
        <w:rPr>
          <w:rFonts w:ascii="Arial" w:hAnsi="Arial" w:cs="Arial"/>
          <w:color w:val="010000"/>
          <w:sz w:val="20"/>
        </w:rPr>
        <w:t>/month.</w:t>
      </w:r>
    </w:p>
    <w:p w14:paraId="179A922A" w14:textId="77777777" w:rsidR="00067985" w:rsidRPr="003F76E1" w:rsidRDefault="005D17FE" w:rsidP="0037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lastRenderedPageBreak/>
        <w:t>Chief of the Supervisory Board: VND4</w:t>
      </w:r>
      <w:proofErr w:type="gramStart"/>
      <w:r w:rsidRPr="003F76E1">
        <w:rPr>
          <w:rFonts w:ascii="Arial" w:hAnsi="Arial" w:cs="Arial"/>
          <w:color w:val="010000"/>
          <w:sz w:val="20"/>
        </w:rPr>
        <w:t>,500,000</w:t>
      </w:r>
      <w:proofErr w:type="gramEnd"/>
      <w:r w:rsidRPr="003F76E1">
        <w:rPr>
          <w:rFonts w:ascii="Arial" w:hAnsi="Arial" w:cs="Arial"/>
          <w:color w:val="010000"/>
          <w:sz w:val="20"/>
        </w:rPr>
        <w:t>/month.</w:t>
      </w:r>
    </w:p>
    <w:p w14:paraId="1FE6207D" w14:textId="77777777" w:rsidR="00067985" w:rsidRPr="003F76E1" w:rsidRDefault="005D17FE" w:rsidP="0037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Member of the Supervisory Board: VND2</w:t>
      </w:r>
      <w:proofErr w:type="gramStart"/>
      <w:r w:rsidRPr="003F76E1">
        <w:rPr>
          <w:rFonts w:ascii="Arial" w:hAnsi="Arial" w:cs="Arial"/>
          <w:color w:val="010000"/>
          <w:sz w:val="20"/>
        </w:rPr>
        <w:t>,200,000</w:t>
      </w:r>
      <w:proofErr w:type="gramEnd"/>
      <w:r w:rsidRPr="003F76E1">
        <w:rPr>
          <w:rFonts w:ascii="Arial" w:hAnsi="Arial" w:cs="Arial"/>
          <w:color w:val="010000"/>
          <w:sz w:val="20"/>
        </w:rPr>
        <w:t>/month.</w:t>
      </w:r>
    </w:p>
    <w:p w14:paraId="5A791CF9" w14:textId="605952D7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The total remuneration payment for all members of the Board of Directors and the Supervisory Board from January 01, 2023</w:t>
      </w:r>
      <w:r w:rsidR="0037373E">
        <w:rPr>
          <w:rFonts w:ascii="Arial" w:hAnsi="Arial" w:cs="Arial"/>
          <w:color w:val="010000"/>
          <w:sz w:val="20"/>
        </w:rPr>
        <w:t>,</w:t>
      </w:r>
      <w:r w:rsidRPr="003F76E1">
        <w:rPr>
          <w:rFonts w:ascii="Arial" w:hAnsi="Arial" w:cs="Arial"/>
          <w:color w:val="010000"/>
          <w:sz w:val="20"/>
        </w:rPr>
        <w:t xml:space="preserve"> to December 31, 2023</w:t>
      </w:r>
      <w:r w:rsidR="0037373E">
        <w:rPr>
          <w:rFonts w:ascii="Arial" w:hAnsi="Arial" w:cs="Arial"/>
          <w:color w:val="010000"/>
          <w:sz w:val="20"/>
        </w:rPr>
        <w:t>,</w:t>
      </w:r>
      <w:r w:rsidRPr="003F76E1">
        <w:rPr>
          <w:rFonts w:ascii="Arial" w:hAnsi="Arial" w:cs="Arial"/>
          <w:color w:val="010000"/>
          <w:sz w:val="20"/>
        </w:rPr>
        <w:t xml:space="preserve"> is VND394</w:t>
      </w:r>
      <w:proofErr w:type="gramStart"/>
      <w:r w:rsidRPr="003F76E1">
        <w:rPr>
          <w:rFonts w:ascii="Arial" w:hAnsi="Arial" w:cs="Arial"/>
          <w:color w:val="010000"/>
          <w:sz w:val="20"/>
        </w:rPr>
        <w:t>,800,000</w:t>
      </w:r>
      <w:proofErr w:type="gramEnd"/>
      <w:r w:rsidRPr="003F76E1">
        <w:rPr>
          <w:rFonts w:ascii="Arial" w:hAnsi="Arial" w:cs="Arial"/>
          <w:color w:val="010000"/>
          <w:sz w:val="20"/>
        </w:rPr>
        <w:t>.</w:t>
      </w:r>
      <w:r w:rsidR="0051358D" w:rsidRPr="003F76E1">
        <w:rPr>
          <w:rFonts w:ascii="Arial" w:hAnsi="Arial" w:cs="Arial"/>
          <w:color w:val="010000"/>
          <w:sz w:val="20"/>
        </w:rPr>
        <w:t xml:space="preserve"> </w:t>
      </w:r>
    </w:p>
    <w:p w14:paraId="735953D2" w14:textId="77777777" w:rsidR="00067985" w:rsidRPr="003F76E1" w:rsidRDefault="005D17FE" w:rsidP="003737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Remuneration level of the Board of Directors and </w:t>
      </w:r>
      <w:r w:rsidR="006F7C6D" w:rsidRPr="003F76E1">
        <w:rPr>
          <w:rFonts w:ascii="Arial" w:hAnsi="Arial" w:cs="Arial"/>
          <w:color w:val="010000"/>
          <w:sz w:val="20"/>
        </w:rPr>
        <w:t xml:space="preserve">the </w:t>
      </w:r>
      <w:r w:rsidRPr="003F76E1">
        <w:rPr>
          <w:rFonts w:ascii="Arial" w:hAnsi="Arial" w:cs="Arial"/>
          <w:color w:val="010000"/>
          <w:sz w:val="20"/>
        </w:rPr>
        <w:t>Supervisory Board in 2024</w:t>
      </w:r>
    </w:p>
    <w:p w14:paraId="44F1978D" w14:textId="77777777" w:rsidR="00067985" w:rsidRPr="003F76E1" w:rsidRDefault="005D17FE" w:rsidP="00373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Chair of the Board of Directors: VND6,000,000/month</w:t>
      </w:r>
    </w:p>
    <w:p w14:paraId="034FC43C" w14:textId="77777777" w:rsidR="00067985" w:rsidRPr="003F76E1" w:rsidRDefault="005D17FE" w:rsidP="00373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Members of the Board of Directors:</w:t>
      </w:r>
      <w:r w:rsidR="0051358D" w:rsidRPr="003F76E1">
        <w:rPr>
          <w:rFonts w:ascii="Arial" w:hAnsi="Arial" w:cs="Arial"/>
          <w:color w:val="010000"/>
          <w:sz w:val="20"/>
        </w:rPr>
        <w:t xml:space="preserve"> </w:t>
      </w:r>
      <w:r w:rsidRPr="003F76E1">
        <w:rPr>
          <w:rFonts w:ascii="Arial" w:hAnsi="Arial" w:cs="Arial"/>
          <w:color w:val="010000"/>
          <w:sz w:val="20"/>
        </w:rPr>
        <w:t>VND4</w:t>
      </w:r>
      <w:proofErr w:type="gramStart"/>
      <w:r w:rsidRPr="003F76E1">
        <w:rPr>
          <w:rFonts w:ascii="Arial" w:hAnsi="Arial" w:cs="Arial"/>
          <w:color w:val="010000"/>
          <w:sz w:val="20"/>
        </w:rPr>
        <w:t>,500,000</w:t>
      </w:r>
      <w:proofErr w:type="gramEnd"/>
      <w:r w:rsidRPr="003F76E1">
        <w:rPr>
          <w:rFonts w:ascii="Arial" w:hAnsi="Arial" w:cs="Arial"/>
          <w:color w:val="010000"/>
          <w:sz w:val="20"/>
        </w:rPr>
        <w:t>/month.</w:t>
      </w:r>
    </w:p>
    <w:p w14:paraId="2627D444" w14:textId="77777777" w:rsidR="00067985" w:rsidRPr="003F76E1" w:rsidRDefault="005D17FE" w:rsidP="00373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Chief of the Supervisory Board VND4</w:t>
      </w:r>
      <w:proofErr w:type="gramStart"/>
      <w:r w:rsidRPr="003F76E1">
        <w:rPr>
          <w:rFonts w:ascii="Arial" w:hAnsi="Arial" w:cs="Arial"/>
          <w:color w:val="010000"/>
          <w:sz w:val="20"/>
        </w:rPr>
        <w:t>,500,000</w:t>
      </w:r>
      <w:proofErr w:type="gramEnd"/>
      <w:r w:rsidRPr="003F76E1">
        <w:rPr>
          <w:rFonts w:ascii="Arial" w:hAnsi="Arial" w:cs="Arial"/>
          <w:color w:val="010000"/>
          <w:sz w:val="20"/>
        </w:rPr>
        <w:t>/month.</w:t>
      </w:r>
    </w:p>
    <w:p w14:paraId="6106FD76" w14:textId="77777777" w:rsidR="00067985" w:rsidRPr="003F76E1" w:rsidRDefault="005D17FE" w:rsidP="00373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Member of the Supervisory Board: </w:t>
      </w:r>
      <w:r w:rsidR="006F7C6D" w:rsidRPr="003F76E1">
        <w:rPr>
          <w:rFonts w:ascii="Arial" w:hAnsi="Arial" w:cs="Arial"/>
          <w:color w:val="010000"/>
          <w:sz w:val="20"/>
        </w:rPr>
        <w:t>VND</w:t>
      </w:r>
      <w:r w:rsidRPr="003F76E1">
        <w:rPr>
          <w:rFonts w:ascii="Arial" w:hAnsi="Arial" w:cs="Arial"/>
          <w:color w:val="010000"/>
          <w:sz w:val="20"/>
        </w:rPr>
        <w:t>2,200,000/month</w:t>
      </w:r>
    </w:p>
    <w:p w14:paraId="643670A8" w14:textId="77777777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Article 6. Approve profit distribution plan 2023. </w:t>
      </w:r>
    </w:p>
    <w:p w14:paraId="178CC03D" w14:textId="77777777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Profit distribution plan in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4"/>
        <w:gridCol w:w="4076"/>
        <w:gridCol w:w="4197"/>
      </w:tblGrid>
      <w:tr w:rsidR="00067985" w:rsidRPr="003F76E1" w14:paraId="67B27CE1" w14:textId="77777777" w:rsidTr="00444EBB"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7AA85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5794C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2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B2F4E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Amount (dong)</w:t>
            </w:r>
          </w:p>
        </w:tc>
      </w:tr>
      <w:tr w:rsidR="00067985" w:rsidRPr="003F76E1" w14:paraId="71B92365" w14:textId="77777777" w:rsidTr="00444EBB"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DB0C2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2E755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Total revenue and income</w:t>
            </w:r>
          </w:p>
        </w:tc>
        <w:tc>
          <w:tcPr>
            <w:tcW w:w="2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16E17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5,041,424,260</w:t>
            </w:r>
          </w:p>
        </w:tc>
      </w:tr>
      <w:tr w:rsidR="00067985" w:rsidRPr="003F76E1" w14:paraId="2BACAF4C" w14:textId="77777777" w:rsidTr="00444EBB"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FDEFD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A8613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Total expenditure</w:t>
            </w:r>
          </w:p>
        </w:tc>
        <w:tc>
          <w:tcPr>
            <w:tcW w:w="2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64B89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12,147,447,805</w:t>
            </w:r>
          </w:p>
        </w:tc>
      </w:tr>
      <w:tr w:rsidR="00067985" w:rsidRPr="003F76E1" w14:paraId="51871661" w14:textId="77777777" w:rsidTr="00444EBB"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DB900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EE5ED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2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7A664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-7,106,023,545</w:t>
            </w:r>
          </w:p>
        </w:tc>
      </w:tr>
      <w:tr w:rsidR="00067985" w:rsidRPr="003F76E1" w14:paraId="6E7B56E8" w14:textId="77777777" w:rsidTr="00444EBB"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26F17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C95C1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Profit after tax 2023</w:t>
            </w:r>
          </w:p>
        </w:tc>
        <w:tc>
          <w:tcPr>
            <w:tcW w:w="2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9E321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-7,106,023,545</w:t>
            </w:r>
          </w:p>
        </w:tc>
      </w:tr>
      <w:tr w:rsidR="00067985" w:rsidRPr="003F76E1" w14:paraId="714D5AC2" w14:textId="77777777" w:rsidTr="00444EBB"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1EE1B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843F9" w14:textId="5BB32202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Undistributed profit after tax accumulated by December 31, 2023</w:t>
            </w:r>
          </w:p>
        </w:tc>
        <w:tc>
          <w:tcPr>
            <w:tcW w:w="2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469D8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4,008,502,514</w:t>
            </w:r>
          </w:p>
        </w:tc>
      </w:tr>
      <w:tr w:rsidR="00067985" w:rsidRPr="003F76E1" w14:paraId="190BAACD" w14:textId="77777777" w:rsidTr="00444EBB"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FB5C5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D129E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2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01F40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2,294,800,000</w:t>
            </w:r>
          </w:p>
        </w:tc>
      </w:tr>
      <w:tr w:rsidR="00067985" w:rsidRPr="003F76E1" w14:paraId="48D22497" w14:textId="77777777" w:rsidTr="00444EBB"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43810" w14:textId="77777777" w:rsidR="00067985" w:rsidRPr="003F76E1" w:rsidRDefault="00067985" w:rsidP="0037373E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7A37E" w14:textId="77777777" w:rsidR="00067985" w:rsidRPr="003F76E1" w:rsidRDefault="005D17FE" w:rsidP="003737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 xml:space="preserve">Dividend payment 2023 in cash (5%/par value) </w:t>
            </w:r>
          </w:p>
        </w:tc>
        <w:tc>
          <w:tcPr>
            <w:tcW w:w="2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7DEFB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1,900,000,000</w:t>
            </w:r>
          </w:p>
        </w:tc>
      </w:tr>
      <w:tr w:rsidR="00067985" w:rsidRPr="003F76E1" w14:paraId="6EC062DD" w14:textId="77777777" w:rsidTr="00444EBB">
        <w:tc>
          <w:tcPr>
            <w:tcW w:w="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293CA" w14:textId="77777777" w:rsidR="00067985" w:rsidRPr="003F76E1" w:rsidRDefault="00067985" w:rsidP="0037373E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C8B8A" w14:textId="77777777" w:rsidR="00067985" w:rsidRPr="003F76E1" w:rsidRDefault="005D17FE" w:rsidP="003737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Remuneration for the Board of Directors and the Supervisory Board in 2023</w:t>
            </w:r>
          </w:p>
        </w:tc>
        <w:tc>
          <w:tcPr>
            <w:tcW w:w="2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22132" w14:textId="77777777" w:rsidR="00067985" w:rsidRPr="003F76E1" w:rsidRDefault="005D17FE" w:rsidP="0037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76E1">
              <w:rPr>
                <w:rFonts w:ascii="Arial" w:hAnsi="Arial" w:cs="Arial"/>
                <w:color w:val="010000"/>
                <w:sz w:val="20"/>
              </w:rPr>
              <w:t>394,800,000</w:t>
            </w:r>
          </w:p>
        </w:tc>
      </w:tr>
    </w:tbl>
    <w:p w14:paraId="659DA11C" w14:textId="77777777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‎‎Article 7. The General Meeting of Shareholders authorized the Board of Directors to select 01 out of 03 independent audit companies for Financial Statements 2023: </w:t>
      </w:r>
    </w:p>
    <w:p w14:paraId="6B3A8D81" w14:textId="77777777" w:rsidR="00067985" w:rsidRPr="003F76E1" w:rsidRDefault="005D17FE" w:rsidP="0037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UHY Auditing &amp; Consulting Company Limited</w:t>
      </w:r>
      <w:r w:rsidRPr="003F76E1">
        <w:rPr>
          <w:rFonts w:ascii="Arial" w:hAnsi="Arial" w:cs="Arial"/>
          <w:color w:val="010000"/>
          <w:sz w:val="20"/>
        </w:rPr>
        <w:tab/>
      </w:r>
    </w:p>
    <w:p w14:paraId="40538201" w14:textId="77777777" w:rsidR="00067985" w:rsidRPr="003F76E1" w:rsidRDefault="005D17FE" w:rsidP="0037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CPA Vietnam Auditing Company Limited.</w:t>
      </w:r>
    </w:p>
    <w:p w14:paraId="5EAF28D1" w14:textId="77777777" w:rsidR="00067985" w:rsidRPr="003F76E1" w:rsidRDefault="006F7C6D" w:rsidP="0037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>AASC Auditing Firm Company Limited</w:t>
      </w:r>
      <w:r w:rsidR="005D17FE" w:rsidRPr="003F76E1">
        <w:rPr>
          <w:rFonts w:ascii="Arial" w:hAnsi="Arial" w:cs="Arial"/>
          <w:color w:val="010000"/>
          <w:sz w:val="20"/>
        </w:rPr>
        <w:tab/>
      </w:r>
    </w:p>
    <w:p w14:paraId="00BDCC92" w14:textId="27CE03D0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‎‎Article 8. This </w:t>
      </w:r>
      <w:r w:rsidR="006F7C6D" w:rsidRPr="003F76E1">
        <w:rPr>
          <w:rFonts w:ascii="Arial" w:hAnsi="Arial" w:cs="Arial"/>
          <w:color w:val="010000"/>
          <w:sz w:val="20"/>
        </w:rPr>
        <w:t>General Mandate</w:t>
      </w:r>
      <w:r w:rsidRPr="003F76E1">
        <w:rPr>
          <w:rFonts w:ascii="Arial" w:hAnsi="Arial" w:cs="Arial"/>
          <w:color w:val="010000"/>
          <w:sz w:val="20"/>
        </w:rPr>
        <w:t xml:space="preserve"> was approved by the Annual General Meeting of Shareholders of Construction And Industry Equipment Group Corporation at </w:t>
      </w:r>
      <w:r w:rsidR="006F7C6D" w:rsidRPr="003F76E1">
        <w:rPr>
          <w:rFonts w:ascii="Arial" w:hAnsi="Arial" w:cs="Arial"/>
          <w:color w:val="010000"/>
          <w:sz w:val="20"/>
        </w:rPr>
        <w:t xml:space="preserve">the </w:t>
      </w:r>
      <w:r w:rsidRPr="003F76E1">
        <w:rPr>
          <w:rFonts w:ascii="Arial" w:hAnsi="Arial" w:cs="Arial"/>
          <w:color w:val="010000"/>
          <w:sz w:val="20"/>
        </w:rPr>
        <w:t>Meeting session on June 11, 2024.</w:t>
      </w:r>
      <w:r w:rsidR="0051358D" w:rsidRPr="003F76E1">
        <w:rPr>
          <w:rFonts w:ascii="Arial" w:hAnsi="Arial" w:cs="Arial"/>
          <w:color w:val="010000"/>
          <w:sz w:val="20"/>
        </w:rPr>
        <w:t xml:space="preserve"> </w:t>
      </w:r>
      <w:r w:rsidRPr="003F76E1">
        <w:rPr>
          <w:rFonts w:ascii="Arial" w:hAnsi="Arial" w:cs="Arial"/>
          <w:color w:val="010000"/>
          <w:sz w:val="20"/>
        </w:rPr>
        <w:t>The Board of Directors, the Supervisory Board</w:t>
      </w:r>
      <w:r w:rsidR="006F7C6D" w:rsidRPr="003F76E1">
        <w:rPr>
          <w:rFonts w:ascii="Arial" w:hAnsi="Arial" w:cs="Arial"/>
          <w:color w:val="010000"/>
          <w:sz w:val="20"/>
        </w:rPr>
        <w:t>,</w:t>
      </w:r>
      <w:r w:rsidRPr="003F76E1">
        <w:rPr>
          <w:rFonts w:ascii="Arial" w:hAnsi="Arial" w:cs="Arial"/>
          <w:color w:val="010000"/>
          <w:sz w:val="20"/>
        </w:rPr>
        <w:t xml:space="preserve"> and the Board of Management of Construction And Industry Equipment Group Corporation are responsible for carrying out, inspecting</w:t>
      </w:r>
      <w:r w:rsidR="006F7C6D" w:rsidRPr="003F76E1">
        <w:rPr>
          <w:rFonts w:ascii="Arial" w:hAnsi="Arial" w:cs="Arial"/>
          <w:color w:val="010000"/>
          <w:sz w:val="20"/>
        </w:rPr>
        <w:t>,</w:t>
      </w:r>
      <w:r w:rsidRPr="003F76E1">
        <w:rPr>
          <w:rFonts w:ascii="Arial" w:hAnsi="Arial" w:cs="Arial"/>
          <w:color w:val="010000"/>
          <w:sz w:val="20"/>
        </w:rPr>
        <w:t xml:space="preserve"> and supervising the </w:t>
      </w:r>
      <w:r w:rsidRPr="003F76E1">
        <w:rPr>
          <w:rFonts w:ascii="Arial" w:hAnsi="Arial" w:cs="Arial"/>
          <w:color w:val="010000"/>
          <w:sz w:val="20"/>
        </w:rPr>
        <w:lastRenderedPageBreak/>
        <w:t xml:space="preserve">implementation of this </w:t>
      </w:r>
      <w:r w:rsidR="003F76E1">
        <w:rPr>
          <w:rFonts w:ascii="Arial" w:hAnsi="Arial" w:cs="Arial"/>
          <w:color w:val="010000"/>
          <w:sz w:val="20"/>
        </w:rPr>
        <w:t>General Mandate</w:t>
      </w:r>
      <w:r w:rsidRPr="003F76E1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p w14:paraId="0C5DAD12" w14:textId="77777777" w:rsidR="00067985" w:rsidRPr="003F76E1" w:rsidRDefault="005D17FE" w:rsidP="003737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6E1">
        <w:rPr>
          <w:rFonts w:ascii="Arial" w:hAnsi="Arial" w:cs="Arial"/>
          <w:color w:val="010000"/>
          <w:sz w:val="20"/>
        </w:rPr>
        <w:t xml:space="preserve">‎‎Article 9. This </w:t>
      </w:r>
      <w:r w:rsidR="006F7C6D" w:rsidRPr="003F76E1">
        <w:rPr>
          <w:rFonts w:ascii="Arial" w:hAnsi="Arial" w:cs="Arial"/>
          <w:color w:val="010000"/>
          <w:sz w:val="20"/>
        </w:rPr>
        <w:t>General Mandate</w:t>
      </w:r>
      <w:r w:rsidRPr="003F76E1">
        <w:rPr>
          <w:rFonts w:ascii="Arial" w:hAnsi="Arial" w:cs="Arial"/>
          <w:color w:val="010000"/>
          <w:sz w:val="20"/>
        </w:rPr>
        <w:t xml:space="preserve"> takes effect from the date of its signing.</w:t>
      </w:r>
    </w:p>
    <w:sectPr w:rsidR="00067985" w:rsidRPr="003F76E1" w:rsidSect="00444EB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80E"/>
    <w:multiLevelType w:val="multilevel"/>
    <w:tmpl w:val="9D36D01E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41B26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B54A19"/>
    <w:multiLevelType w:val="multilevel"/>
    <w:tmpl w:val="D72EAE8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F84A7F"/>
    <w:multiLevelType w:val="multilevel"/>
    <w:tmpl w:val="3A727D5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7F259F"/>
    <w:multiLevelType w:val="multilevel"/>
    <w:tmpl w:val="E8E674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503"/>
    <w:multiLevelType w:val="multilevel"/>
    <w:tmpl w:val="452E892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6044FC"/>
    <w:multiLevelType w:val="multilevel"/>
    <w:tmpl w:val="55F6520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B612B92"/>
    <w:multiLevelType w:val="multilevel"/>
    <w:tmpl w:val="661243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E26F6C"/>
    <w:multiLevelType w:val="multilevel"/>
    <w:tmpl w:val="5FC8FF9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F6A5861"/>
    <w:multiLevelType w:val="multilevel"/>
    <w:tmpl w:val="A7F882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41B2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F62317"/>
    <w:multiLevelType w:val="multilevel"/>
    <w:tmpl w:val="A11C5F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41B2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6984824"/>
    <w:multiLevelType w:val="multilevel"/>
    <w:tmpl w:val="BA32C29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A064398"/>
    <w:multiLevelType w:val="multilevel"/>
    <w:tmpl w:val="B74A12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85"/>
    <w:rsid w:val="00067985"/>
    <w:rsid w:val="0037373E"/>
    <w:rsid w:val="0037799F"/>
    <w:rsid w:val="003F76E1"/>
    <w:rsid w:val="00444EBB"/>
    <w:rsid w:val="0051358D"/>
    <w:rsid w:val="005D17FE"/>
    <w:rsid w:val="006F7C6D"/>
    <w:rsid w:val="00930B7B"/>
    <w:rsid w:val="00F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A9D0C"/>
  <w15:docId w15:val="{8811ADEE-3CFA-4480-8A69-72EC69A8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B26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B26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B26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B26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color w:val="141B26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Vnbnnidung20">
    <w:name w:val="Văn bản nội dung (2)"/>
    <w:basedOn w:val="Normal"/>
    <w:link w:val="Vnbnnidung2"/>
    <w:pPr>
      <w:spacing w:line="161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141B26"/>
      <w:sz w:val="26"/>
      <w:szCs w:val="26"/>
    </w:rPr>
  </w:style>
  <w:style w:type="paragraph" w:customStyle="1" w:styleId="Tiu20">
    <w:name w:val="Tiêu đề #2"/>
    <w:basedOn w:val="Normal"/>
    <w:link w:val="Tiu2"/>
    <w:pPr>
      <w:ind w:left="540"/>
      <w:outlineLvl w:val="1"/>
    </w:pPr>
    <w:rPr>
      <w:rFonts w:ascii="Times New Roman" w:eastAsia="Times New Roman" w:hAnsi="Times New Roman" w:cs="Times New Roman"/>
      <w:b/>
      <w:bCs/>
      <w:color w:val="141B26"/>
      <w:sz w:val="22"/>
      <w:szCs w:val="22"/>
    </w:rPr>
  </w:style>
  <w:style w:type="paragraph" w:customStyle="1" w:styleId="Khc0">
    <w:name w:val="Khác"/>
    <w:basedOn w:val="Normal"/>
    <w:link w:val="Khc"/>
    <w:pPr>
      <w:spacing w:line="259" w:lineRule="auto"/>
    </w:pPr>
    <w:rPr>
      <w:rFonts w:ascii="Times New Roman" w:eastAsia="Times New Roman" w:hAnsi="Times New Roman" w:cs="Times New Roman"/>
      <w:color w:val="141B26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rnWxAzGUTJsGHmIr+HnX+SR4pw==">CgMxLjA4AHIhMWIxamk5WlUyNlZnaWRBTmdUUG5BbVZpOFpGSEd2eG56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3085</Characters>
  <Application>Microsoft Office Word</Application>
  <DocSecurity>0</DocSecurity>
  <Lines>83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2024-06-19T03:56:00Z</dcterms:created>
  <dcterms:modified xsi:type="dcterms:W3CDTF">2024-06-21T03:24:00Z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a55a0b5e3808bde6759d3e54a7a8dbfa06764878862313a105562aff26de2921</vt:lpwstr>
  </property>
</Properties>
</file>