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E8E04" w14:textId="77777777" w:rsidR="006A6DE8" w:rsidRPr="006030A4" w:rsidRDefault="004E5C47" w:rsidP="006030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030A4">
        <w:rPr>
          <w:rFonts w:ascii="Arial" w:hAnsi="Arial" w:cs="Arial"/>
          <w:b/>
          <w:bCs/>
          <w:color w:val="010000"/>
          <w:sz w:val="20"/>
          <w:szCs w:val="20"/>
        </w:rPr>
        <w:t>HU6:</w:t>
      </w:r>
      <w:r w:rsidRPr="006030A4">
        <w:rPr>
          <w:rFonts w:ascii="Arial" w:hAnsi="Arial" w:cs="Arial"/>
          <w:b/>
          <w:color w:val="010000"/>
          <w:sz w:val="20"/>
          <w:szCs w:val="20"/>
        </w:rPr>
        <w:t xml:space="preserve"> Board Resolution</w:t>
      </w:r>
    </w:p>
    <w:p w14:paraId="7A7B1966" w14:textId="77777777" w:rsidR="006A6DE8" w:rsidRPr="006030A4" w:rsidRDefault="004E5C47" w:rsidP="006030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0A4">
        <w:rPr>
          <w:rFonts w:ascii="Arial" w:hAnsi="Arial" w:cs="Arial"/>
          <w:color w:val="010000"/>
          <w:sz w:val="20"/>
          <w:szCs w:val="20"/>
        </w:rPr>
        <w:t xml:space="preserve">On June 18, 2024, HUD6 City and Housing Development Investment Joint Stock Company announced Resolution </w:t>
      </w:r>
      <w:r w:rsidR="00FA3D48" w:rsidRPr="006030A4">
        <w:rPr>
          <w:rFonts w:ascii="Arial" w:hAnsi="Arial" w:cs="Arial"/>
          <w:color w:val="010000"/>
          <w:sz w:val="20"/>
          <w:szCs w:val="20"/>
        </w:rPr>
        <w:t xml:space="preserve">No. </w:t>
      </w:r>
      <w:r w:rsidRPr="006030A4">
        <w:rPr>
          <w:rFonts w:ascii="Arial" w:hAnsi="Arial" w:cs="Arial"/>
          <w:color w:val="010000"/>
          <w:sz w:val="20"/>
          <w:szCs w:val="20"/>
        </w:rPr>
        <w:t xml:space="preserve">360/NQ- HDQT on </w:t>
      </w:r>
      <w:r w:rsidR="00E94E10" w:rsidRPr="006030A4">
        <w:rPr>
          <w:rFonts w:ascii="Arial" w:hAnsi="Arial" w:cs="Arial"/>
          <w:color w:val="010000"/>
          <w:sz w:val="20"/>
          <w:szCs w:val="20"/>
        </w:rPr>
        <w:t xml:space="preserve">approving </w:t>
      </w:r>
      <w:r w:rsidRPr="006030A4">
        <w:rPr>
          <w:rFonts w:ascii="Arial" w:hAnsi="Arial" w:cs="Arial"/>
          <w:color w:val="010000"/>
          <w:sz w:val="20"/>
          <w:szCs w:val="20"/>
        </w:rPr>
        <w:t xml:space="preserve">production and business results in the first 6 months of the year and main duties in the last 6 months </w:t>
      </w:r>
      <w:r w:rsidR="00E94E10" w:rsidRPr="006030A4">
        <w:rPr>
          <w:rFonts w:ascii="Arial" w:hAnsi="Arial" w:cs="Arial"/>
          <w:color w:val="010000"/>
          <w:sz w:val="20"/>
          <w:szCs w:val="20"/>
        </w:rPr>
        <w:t>of</w:t>
      </w:r>
      <w:r w:rsidRPr="006030A4">
        <w:rPr>
          <w:rFonts w:ascii="Arial" w:hAnsi="Arial" w:cs="Arial"/>
          <w:color w:val="010000"/>
          <w:sz w:val="20"/>
          <w:szCs w:val="20"/>
        </w:rPr>
        <w:t xml:space="preserve"> 2024 as follows: </w:t>
      </w:r>
    </w:p>
    <w:p w14:paraId="5F8A581C" w14:textId="46EC393C" w:rsidR="006A6DE8" w:rsidRPr="006030A4" w:rsidRDefault="004E5C47" w:rsidP="006030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0A4">
        <w:rPr>
          <w:rFonts w:ascii="Arial" w:hAnsi="Arial" w:cs="Arial"/>
          <w:color w:val="010000"/>
          <w:sz w:val="20"/>
          <w:szCs w:val="20"/>
        </w:rPr>
        <w:t xml:space="preserve">Article 1: Approve results on production and business activities in the first 06 months and main duties in the last 06 months </w:t>
      </w:r>
      <w:r w:rsidR="006030A4">
        <w:rPr>
          <w:rFonts w:ascii="Arial" w:hAnsi="Arial" w:cs="Arial"/>
          <w:color w:val="010000"/>
          <w:sz w:val="20"/>
          <w:szCs w:val="20"/>
        </w:rPr>
        <w:t>of</w:t>
      </w:r>
      <w:r w:rsidRPr="006030A4">
        <w:rPr>
          <w:rFonts w:ascii="Arial" w:hAnsi="Arial" w:cs="Arial"/>
          <w:color w:val="010000"/>
          <w:sz w:val="20"/>
          <w:szCs w:val="20"/>
        </w:rPr>
        <w:t xml:space="preserve"> 2024 with the following main targets: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421"/>
        <w:gridCol w:w="2041"/>
        <w:gridCol w:w="821"/>
        <w:gridCol w:w="952"/>
        <w:gridCol w:w="952"/>
        <w:gridCol w:w="956"/>
        <w:gridCol w:w="961"/>
        <w:gridCol w:w="961"/>
        <w:gridCol w:w="952"/>
      </w:tblGrid>
      <w:tr w:rsidR="006A6DE8" w:rsidRPr="006030A4" w14:paraId="0A706DD8" w14:textId="77777777" w:rsidTr="003163A0"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32654" w14:textId="6F5C8C7C" w:rsidR="006A6DE8" w:rsidRPr="004E3CA6" w:rsidRDefault="00FA3D48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No.</w:t>
            </w:r>
          </w:p>
        </w:tc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23D88" w14:textId="77777777" w:rsidR="006A6DE8" w:rsidRPr="004E3CA6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Major targets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F5C26" w14:textId="77777777" w:rsidR="006A6DE8" w:rsidRPr="004E3CA6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Unit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F2487" w14:textId="77777777" w:rsidR="006A6DE8" w:rsidRPr="004E3CA6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Plan 2024</w:t>
            </w:r>
          </w:p>
        </w:tc>
        <w:tc>
          <w:tcPr>
            <w:tcW w:w="1591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9194D" w14:textId="77777777" w:rsidR="006A6DE8" w:rsidRPr="004E3CA6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 xml:space="preserve">Estimated results in the first 06 months </w:t>
            </w:r>
            <w:r w:rsidR="00E94E10"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of</w:t>
            </w: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 xml:space="preserve"> 2024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C52AC" w14:textId="77777777" w:rsidR="006A6DE8" w:rsidRPr="004E3CA6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 xml:space="preserve">Plan in the last 06 months </w:t>
            </w:r>
            <w:r w:rsidR="00E94E10"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of</w:t>
            </w: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 xml:space="preserve"> 2024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C770F" w14:textId="4C865B25" w:rsidR="006A6DE8" w:rsidRPr="004E3CA6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Plan in Q3/2024</w:t>
            </w:r>
          </w:p>
        </w:tc>
      </w:tr>
      <w:tr w:rsidR="006A6DE8" w:rsidRPr="006030A4" w14:paraId="6E0DAA5B" w14:textId="77777777" w:rsidTr="003163A0"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2A075" w14:textId="77777777" w:rsidR="006A6DE8" w:rsidRPr="006030A4" w:rsidRDefault="006A6DE8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269B1" w14:textId="77777777" w:rsidR="006A6DE8" w:rsidRPr="006030A4" w:rsidRDefault="006A6DE8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D8631" w14:textId="77777777" w:rsidR="006A6DE8" w:rsidRPr="006030A4" w:rsidRDefault="006A6DE8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1C5F0" w14:textId="77777777" w:rsidR="006A6DE8" w:rsidRPr="006030A4" w:rsidRDefault="006A6DE8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3749D" w14:textId="59637C12" w:rsidR="006A6DE8" w:rsidRPr="004E3CA6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Plan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D5825" w14:textId="77777777" w:rsidR="006A6DE8" w:rsidRPr="004E3CA6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Results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B4441" w14:textId="77777777" w:rsidR="006A6DE8" w:rsidRPr="004E3CA6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4E3CA6">
              <w:rPr>
                <w:rFonts w:ascii="Arial" w:hAnsi="Arial" w:cs="Arial"/>
                <w:b/>
                <w:color w:val="010000"/>
                <w:sz w:val="20"/>
                <w:szCs w:val="20"/>
              </w:rPr>
              <w:t>Plan (%)</w:t>
            </w: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65005" w14:textId="77777777" w:rsidR="006A6DE8" w:rsidRPr="006030A4" w:rsidRDefault="006A6DE8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8CAED" w14:textId="77777777" w:rsidR="006A6DE8" w:rsidRPr="006030A4" w:rsidRDefault="006A6DE8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A6DE8" w:rsidRPr="006030A4" w14:paraId="7353C101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D511C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D4FF3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 xml:space="preserve">Production and </w:t>
            </w:r>
            <w:r w:rsidR="00E94E10" w:rsidRPr="006030A4">
              <w:rPr>
                <w:rFonts w:ascii="Arial" w:hAnsi="Arial" w:cs="Arial"/>
                <w:color w:val="010000"/>
                <w:sz w:val="20"/>
                <w:szCs w:val="20"/>
              </w:rPr>
              <w:t>business value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100A1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21B25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3,000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8419E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A28CF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C61F2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6451A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3,000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5B52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6A6DE8" w:rsidRPr="006030A4" w14:paraId="62779E96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03EC5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II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14EBB3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Investment value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30DAB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01237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105,000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7B18D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24,500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36BCE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440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B81CB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1.80%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F3F4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104,560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B94C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12,500</w:t>
            </w:r>
          </w:p>
        </w:tc>
      </w:tr>
      <w:tr w:rsidR="006A6DE8" w:rsidRPr="006030A4" w14:paraId="74E86ECA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0BC9D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III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B25C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Some financial targets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539FC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213B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DC679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3FB54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DAA99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66455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3E5EB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A6DE8" w:rsidRPr="006030A4" w14:paraId="2D3C1264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F367E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A440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Revenue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0D2F4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9B1A2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3,000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06945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3589A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500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AF24D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166.67%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E2C1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2,500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E706F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200</w:t>
            </w:r>
          </w:p>
        </w:tc>
      </w:tr>
      <w:tr w:rsidR="006A6DE8" w:rsidRPr="006030A4" w14:paraId="653D58DF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A456A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5F176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Owners’ equity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D22BF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ABBEC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77,452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831F6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77,428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1936C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77,428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13CAD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100.00%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1734B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77,452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0D1CC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77,428</w:t>
            </w:r>
          </w:p>
        </w:tc>
      </w:tr>
      <w:tr w:rsidR="006A6DE8" w:rsidRPr="006030A4" w14:paraId="0D1C9C51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875413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3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160C7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Profit before tax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A8024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72DAB7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30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D7F3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462790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89D33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377DC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30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9ED9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6A6DE8" w:rsidRPr="006030A4" w14:paraId="1B103D81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57677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4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E7F0E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Profit after tax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D3564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64087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656FC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3B026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9A142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C39C5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0F769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</w:t>
            </w:r>
          </w:p>
        </w:tc>
      </w:tr>
      <w:tr w:rsidR="006A6DE8" w:rsidRPr="006030A4" w14:paraId="5CAD5099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446D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5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EA32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Profit after tax/Owners’ equity (%)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63BCD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1147E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0.03%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C0AA0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0.00%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088B1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0.00%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8F612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4EF7A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0.03%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3D41D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0.00%</w:t>
            </w:r>
          </w:p>
        </w:tc>
      </w:tr>
      <w:tr w:rsidR="006A6DE8" w:rsidRPr="006030A4" w14:paraId="6F5B34E9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9E55B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6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0C3DA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Payable to the state budget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65C56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1166D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61C81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40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05096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40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06E86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100.00%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CD0F5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160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F955BE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20</w:t>
            </w:r>
          </w:p>
        </w:tc>
      </w:tr>
      <w:tr w:rsidR="006A6DE8" w:rsidRPr="006030A4" w14:paraId="62DA0959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9B526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7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738DD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Dividend payment rate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D49C2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3584A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0.00%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EED4B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22AFD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81676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26BBC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BCDFB" w14:textId="77777777" w:rsidR="006A6DE8" w:rsidRPr="006030A4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6A6DE8" w:rsidRPr="006030A4" w14:paraId="0AE045AA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57C36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8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B1E80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Receivables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EDEA24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C5885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12,000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CC075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21,000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100FB0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22,000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69BD8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104.76%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57D32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12,000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0A4D6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24,000</w:t>
            </w:r>
          </w:p>
        </w:tc>
      </w:tr>
      <w:tr w:rsidR="006A6DE8" w:rsidRPr="006030A4" w14:paraId="076D1F95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D4CC5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9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707E2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Payables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630E3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Million 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E2864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185,000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05972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25,000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45171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23,000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52C85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92.00%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9EDAB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185,000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F7CA1" w14:textId="77777777" w:rsidR="006A6DE8" w:rsidRPr="006030A4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030A4">
              <w:rPr>
                <w:rFonts w:ascii="Arial" w:hAnsi="Arial" w:cs="Arial"/>
                <w:color w:val="010000"/>
                <w:sz w:val="20"/>
                <w:szCs w:val="20"/>
              </w:rPr>
              <w:t>25,000</w:t>
            </w:r>
          </w:p>
        </w:tc>
      </w:tr>
      <w:tr w:rsidR="006A6DE8" w:rsidRPr="00591A78" w14:paraId="0BAB68E8" w14:textId="77777777" w:rsidTr="003163A0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14A9C" w14:textId="77777777" w:rsidR="006A6DE8" w:rsidRPr="006030A4" w:rsidRDefault="006A6DE8" w:rsidP="006030A4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7EDFB" w14:textId="77777777" w:rsidR="006A6DE8" w:rsidRPr="00591A78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591A78">
              <w:rPr>
                <w:rFonts w:ascii="Arial" w:hAnsi="Arial" w:cs="Arial"/>
                <w:i/>
                <w:color w:val="010000"/>
                <w:sz w:val="20"/>
                <w:szCs w:val="20"/>
              </w:rPr>
              <w:t xml:space="preserve">Debts payable to the </w:t>
            </w:r>
            <w:r w:rsidRPr="00591A78">
              <w:rPr>
                <w:rFonts w:ascii="Arial" w:hAnsi="Arial" w:cs="Arial"/>
                <w:i/>
                <w:color w:val="010000"/>
                <w:sz w:val="20"/>
                <w:szCs w:val="20"/>
              </w:rPr>
              <w:lastRenderedPageBreak/>
              <w:t>Bank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18F94" w14:textId="77777777" w:rsidR="006A6DE8" w:rsidRPr="00591A78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591A78">
              <w:rPr>
                <w:rFonts w:ascii="Arial" w:hAnsi="Arial" w:cs="Arial"/>
                <w:i/>
                <w:color w:val="010000"/>
                <w:sz w:val="20"/>
                <w:szCs w:val="20"/>
              </w:rPr>
              <w:lastRenderedPageBreak/>
              <w:t xml:space="preserve">Million </w:t>
            </w:r>
            <w:r w:rsidRPr="00591A78">
              <w:rPr>
                <w:rFonts w:ascii="Arial" w:hAnsi="Arial" w:cs="Arial"/>
                <w:i/>
                <w:color w:val="010000"/>
                <w:sz w:val="20"/>
                <w:szCs w:val="20"/>
              </w:rPr>
              <w:lastRenderedPageBreak/>
              <w:t>VND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DD704" w14:textId="77777777" w:rsidR="006A6DE8" w:rsidRPr="00591A78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591A78">
              <w:rPr>
                <w:rFonts w:ascii="Arial" w:hAnsi="Arial" w:cs="Arial"/>
                <w:i/>
                <w:color w:val="010000"/>
                <w:sz w:val="20"/>
                <w:szCs w:val="20"/>
              </w:rPr>
              <w:lastRenderedPageBreak/>
              <w:t>50,000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E7B69" w14:textId="77777777" w:rsidR="006A6DE8" w:rsidRPr="00591A78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14581" w14:textId="77777777" w:rsidR="006A6DE8" w:rsidRPr="00591A78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46851" w14:textId="77777777" w:rsidR="006A6DE8" w:rsidRPr="00591A78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2A80C" w14:textId="77777777" w:rsidR="006A6DE8" w:rsidRPr="00591A78" w:rsidRDefault="004E5C47" w:rsidP="0060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  <w:r w:rsidRPr="00591A78">
              <w:rPr>
                <w:rFonts w:ascii="Arial" w:hAnsi="Arial" w:cs="Arial"/>
                <w:i/>
                <w:color w:val="010000"/>
                <w:sz w:val="20"/>
                <w:szCs w:val="20"/>
              </w:rPr>
              <w:t>50,000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585D1" w14:textId="77777777" w:rsidR="006A6DE8" w:rsidRPr="00591A78" w:rsidRDefault="006A6DE8" w:rsidP="006030A4">
            <w:pPr>
              <w:spacing w:after="120" w:line="360" w:lineRule="auto"/>
              <w:jc w:val="center"/>
              <w:rPr>
                <w:rFonts w:ascii="Arial" w:eastAsia="Arial" w:hAnsi="Arial" w:cs="Arial"/>
                <w:i/>
                <w:color w:val="01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9E445AD" w14:textId="77777777" w:rsidR="006A6DE8" w:rsidRPr="006030A4" w:rsidRDefault="004E5C47" w:rsidP="006030A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0A4">
        <w:rPr>
          <w:rFonts w:ascii="Arial" w:hAnsi="Arial" w:cs="Arial"/>
          <w:color w:val="010000"/>
          <w:sz w:val="20"/>
          <w:szCs w:val="20"/>
        </w:rPr>
        <w:lastRenderedPageBreak/>
        <w:t xml:space="preserve">Article 2: Members of the Board of Directors, the Board of Managers, the Chief Accountant, </w:t>
      </w:r>
      <w:r w:rsidR="00E94E10" w:rsidRPr="006030A4">
        <w:rPr>
          <w:rFonts w:ascii="Arial" w:hAnsi="Arial" w:cs="Arial"/>
          <w:color w:val="010000"/>
          <w:sz w:val="20"/>
          <w:szCs w:val="20"/>
        </w:rPr>
        <w:t xml:space="preserve">and </w:t>
      </w:r>
      <w:r w:rsidRPr="006030A4">
        <w:rPr>
          <w:rFonts w:ascii="Arial" w:hAnsi="Arial" w:cs="Arial"/>
          <w:color w:val="010000"/>
          <w:sz w:val="20"/>
          <w:szCs w:val="20"/>
        </w:rPr>
        <w:t xml:space="preserve">the Heads of Functional Departments of HUD6 City and Housing Development Investment Joint Stock Company take responsibility for implementing this Resolution. </w:t>
      </w:r>
    </w:p>
    <w:p w14:paraId="5551DCEE" w14:textId="77777777" w:rsidR="006A6DE8" w:rsidRPr="006030A4" w:rsidRDefault="004E5C47" w:rsidP="006030A4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030A4">
        <w:rPr>
          <w:rFonts w:ascii="Arial" w:hAnsi="Arial" w:cs="Arial"/>
          <w:color w:val="010000"/>
          <w:sz w:val="20"/>
          <w:szCs w:val="20"/>
        </w:rPr>
        <w:t>This Resolution takes effect from the date of its signing</w:t>
      </w:r>
      <w:proofErr w:type="gramStart"/>
      <w:r w:rsidRPr="006030A4">
        <w:rPr>
          <w:rFonts w:ascii="Arial" w:hAnsi="Arial" w:cs="Arial"/>
          <w:color w:val="010000"/>
          <w:sz w:val="20"/>
          <w:szCs w:val="20"/>
        </w:rPr>
        <w:t>./</w:t>
      </w:r>
      <w:proofErr w:type="gramEnd"/>
      <w:r w:rsidRPr="006030A4">
        <w:rPr>
          <w:rFonts w:ascii="Arial" w:hAnsi="Arial" w:cs="Arial"/>
          <w:color w:val="010000"/>
          <w:sz w:val="20"/>
          <w:szCs w:val="20"/>
        </w:rPr>
        <w:t>.</w:t>
      </w:r>
    </w:p>
    <w:sectPr w:rsidR="006A6DE8" w:rsidRPr="006030A4" w:rsidSect="003163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8"/>
    <w:rsid w:val="003163A0"/>
    <w:rsid w:val="004E3CA6"/>
    <w:rsid w:val="004E5C47"/>
    <w:rsid w:val="00591A78"/>
    <w:rsid w:val="006030A4"/>
    <w:rsid w:val="006A6DE8"/>
    <w:rsid w:val="00D1075E"/>
    <w:rsid w:val="00E74CBF"/>
    <w:rsid w:val="00E94E10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4CA68"/>
  <w15:docId w15:val="{4F6D3018-C4DB-47ED-9FFE-8822698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3333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3333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3333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3333"/>
      <w:sz w:val="28"/>
      <w:szCs w:val="2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color w:val="2B3333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2B3333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color w:val="2B3333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2B3333"/>
      <w:sz w:val="28"/>
      <w:szCs w:val="28"/>
    </w:rPr>
  </w:style>
  <w:style w:type="paragraph" w:customStyle="1" w:styleId="Heading21">
    <w:name w:val="Heading #2"/>
    <w:basedOn w:val="Normal"/>
    <w:link w:val="Heading20"/>
    <w:pPr>
      <w:ind w:left="249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Heading31">
    <w:name w:val="Heading #3"/>
    <w:basedOn w:val="Normal"/>
    <w:link w:val="Heading30"/>
    <w:pPr>
      <w:ind w:left="1520" w:firstLine="50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Sho5ztsJOSHnl6iGaHr9T8h+bA==">CgMxLjA4AHIhMWlLVHdObHhqN3BBQ3ZUOTUydHdSM2lYbVgtVXVINldU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1399</Characters>
  <Application>Microsoft Office Word</Application>
  <DocSecurity>0</DocSecurity>
  <Lines>174</Lines>
  <Paragraphs>129</Paragraphs>
  <ScaleCrop>false</ScaleCrop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Thi Quynh Trang</cp:lastModifiedBy>
  <cp:revision>10</cp:revision>
  <dcterms:created xsi:type="dcterms:W3CDTF">2024-06-20T03:07:00Z</dcterms:created>
  <dcterms:modified xsi:type="dcterms:W3CDTF">2024-06-21T03:47:00Z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d706f5178b0bb58cb77e1c9e517e3142eb1d1093bcf769df4071345531f1c3a5</vt:lpwstr>
  </property>
</Properties>
</file>