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2F49" w:rsidRPr="008D10A6" w:rsidRDefault="000E011B" w:rsidP="00886D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8D10A6">
        <w:rPr>
          <w:rFonts w:ascii="Arial" w:hAnsi="Arial" w:cs="Arial"/>
          <w:b/>
          <w:color w:val="010000"/>
          <w:sz w:val="20"/>
        </w:rPr>
        <w:t>DNE: Board Resolution</w:t>
      </w:r>
    </w:p>
    <w:p w14:paraId="00000002" w14:textId="17B04BCB" w:rsidR="00D42F49" w:rsidRPr="008D10A6" w:rsidRDefault="000E011B" w:rsidP="00886D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On June 19, 2024, Da Nang Urban Environment Joint Stock Company announced Resolution </w:t>
      </w:r>
      <w:r w:rsidR="00217396" w:rsidRPr="008D10A6">
        <w:rPr>
          <w:rFonts w:ascii="Arial" w:hAnsi="Arial" w:cs="Arial"/>
          <w:color w:val="010000"/>
          <w:sz w:val="20"/>
        </w:rPr>
        <w:t xml:space="preserve">No. </w:t>
      </w:r>
      <w:r w:rsidRPr="008D10A6">
        <w:rPr>
          <w:rFonts w:ascii="Arial" w:hAnsi="Arial" w:cs="Arial"/>
          <w:color w:val="010000"/>
          <w:sz w:val="20"/>
        </w:rPr>
        <w:t>08/NQ-HDQT as follows: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</w:p>
    <w:p w14:paraId="00000003" w14:textId="3C266AF8" w:rsidR="00D42F49" w:rsidRPr="008D10A6" w:rsidRDefault="000E011B" w:rsidP="00886D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‎‎Article 1</w:t>
      </w:r>
      <w:r w:rsidR="00A86C6B" w:rsidRPr="008D10A6">
        <w:rPr>
          <w:rFonts w:ascii="Arial" w:hAnsi="Arial" w:cs="Arial"/>
          <w:color w:val="010000"/>
          <w:sz w:val="20"/>
        </w:rPr>
        <w:t xml:space="preserve">.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>A</w:t>
      </w:r>
      <w:r w:rsidRPr="008D10A6">
        <w:rPr>
          <w:rFonts w:ascii="Arial" w:hAnsi="Arial" w:cs="Arial"/>
          <w:color w:val="010000"/>
          <w:sz w:val="20"/>
        </w:rPr>
        <w:t xml:space="preserve">gree to approve all contents to present to the Annual General Meeting of Shareholders 2024 as follows: </w:t>
      </w:r>
    </w:p>
    <w:p w14:paraId="00000004" w14:textId="66F1E781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The agenda,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8D10A6">
        <w:rPr>
          <w:rFonts w:ascii="Arial" w:hAnsi="Arial" w:cs="Arial"/>
          <w:color w:val="010000"/>
          <w:sz w:val="20"/>
        </w:rPr>
        <w:t xml:space="preserve">Presidium of the Meeting,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8D10A6">
        <w:rPr>
          <w:rFonts w:ascii="Arial" w:hAnsi="Arial" w:cs="Arial"/>
          <w:color w:val="010000"/>
          <w:sz w:val="20"/>
        </w:rPr>
        <w:t xml:space="preserve">Secretariat,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8D10A6">
        <w:rPr>
          <w:rFonts w:ascii="Arial" w:hAnsi="Arial" w:cs="Arial"/>
          <w:color w:val="010000"/>
          <w:sz w:val="20"/>
        </w:rPr>
        <w:t xml:space="preserve">Vote Counting Committee and </w:t>
      </w:r>
      <w:r w:rsidR="00A86C6B" w:rsidRPr="008D10A6">
        <w:rPr>
          <w:rFonts w:ascii="Arial" w:hAnsi="Arial" w:cs="Arial"/>
          <w:color w:val="010000"/>
          <w:sz w:val="20"/>
        </w:rPr>
        <w:t xml:space="preserve">the </w:t>
      </w:r>
      <w:r w:rsidRPr="008D10A6">
        <w:rPr>
          <w:rFonts w:ascii="Arial" w:hAnsi="Arial" w:cs="Arial"/>
          <w:color w:val="010000"/>
          <w:sz w:val="20"/>
        </w:rPr>
        <w:t xml:space="preserve">Shareholder's Eligibility Verification Committee; </w:t>
      </w:r>
    </w:p>
    <w:p w14:paraId="00000005" w14:textId="77777777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7"/>
          <w:tab w:val="left" w:pos="82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Work regulations and voting rules; </w:t>
      </w:r>
    </w:p>
    <w:p w14:paraId="00000006" w14:textId="7978EFB2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Report of the Board of Directors 2023 of Da Nang Urban Environment Joint Stock Company and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8D10A6">
        <w:rPr>
          <w:rFonts w:ascii="Arial" w:hAnsi="Arial" w:cs="Arial"/>
          <w:color w:val="010000"/>
          <w:sz w:val="20"/>
        </w:rPr>
        <w:t>operational orientation 2024.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 xml:space="preserve">In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>which,</w:t>
      </w:r>
      <w:r w:rsidRPr="008D10A6">
        <w:rPr>
          <w:rFonts w:ascii="Arial" w:hAnsi="Arial" w:cs="Arial"/>
          <w:color w:val="010000"/>
          <w:sz w:val="20"/>
        </w:rPr>
        <w:t xml:space="preserve"> adjusting </w:t>
      </w:r>
      <w:r w:rsidR="00A86C6B" w:rsidRPr="008D10A6">
        <w:rPr>
          <w:rFonts w:ascii="Arial" w:hAnsi="Arial" w:cs="Arial"/>
          <w:color w:val="010000"/>
          <w:sz w:val="20"/>
        </w:rPr>
        <w:t xml:space="preserve">the </w:t>
      </w:r>
      <w:r w:rsidRPr="008D10A6">
        <w:rPr>
          <w:rFonts w:ascii="Arial" w:hAnsi="Arial" w:cs="Arial"/>
          <w:color w:val="010000"/>
          <w:sz w:val="20"/>
        </w:rPr>
        <w:t>statistics of 2024 as follows: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>Revenue of VND271,265 million; total cost: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>VND263,734 million, profit</w:t>
      </w:r>
      <w:r w:rsidR="008D10A6" w:rsidRPr="008D10A6">
        <w:rPr>
          <w:rFonts w:ascii="Arial" w:hAnsi="Arial" w:cs="Arial"/>
          <w:color w:val="010000"/>
          <w:sz w:val="20"/>
        </w:rPr>
        <w:t>:</w:t>
      </w:r>
      <w:r w:rsidRPr="008D10A6">
        <w:rPr>
          <w:rFonts w:ascii="Arial" w:hAnsi="Arial" w:cs="Arial"/>
          <w:color w:val="010000"/>
          <w:sz w:val="20"/>
        </w:rPr>
        <w:t xml:space="preserve"> VND7,531 million. </w:t>
      </w:r>
    </w:p>
    <w:p w14:paraId="00000007" w14:textId="77777777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Report on the activities of the Supervisory Board 2023.</w:t>
      </w:r>
    </w:p>
    <w:p w14:paraId="00000008" w14:textId="6F201310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Production and business activities 2023</w:t>
      </w:r>
      <w:r w:rsidR="00A86C6B" w:rsidRPr="008D10A6">
        <w:rPr>
          <w:rFonts w:ascii="Arial" w:hAnsi="Arial" w:cs="Arial"/>
          <w:color w:val="010000"/>
          <w:sz w:val="20"/>
        </w:rPr>
        <w:t xml:space="preserve"> and production and business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>p</w:t>
      </w:r>
      <w:r w:rsidRPr="008D10A6">
        <w:rPr>
          <w:rFonts w:ascii="Arial" w:hAnsi="Arial" w:cs="Arial"/>
          <w:color w:val="010000"/>
          <w:sz w:val="20"/>
        </w:rPr>
        <w:t xml:space="preserve">lan 2024; </w:t>
      </w:r>
    </w:p>
    <w:p w14:paraId="00000009" w14:textId="4AF9185A" w:rsidR="00D42F49" w:rsidRPr="008D10A6" w:rsidRDefault="00A86C6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0E011B" w:rsidRPr="008D10A6">
        <w:rPr>
          <w:rFonts w:ascii="Arial" w:hAnsi="Arial" w:cs="Arial"/>
          <w:color w:val="010000"/>
          <w:sz w:val="20"/>
        </w:rPr>
        <w:t xml:space="preserve">Audited Financial </w:t>
      </w:r>
      <w:r w:rsidRPr="008D10A6">
        <w:rPr>
          <w:rFonts w:ascii="Arial" w:hAnsi="Arial" w:cs="Arial"/>
          <w:color w:val="010000"/>
          <w:sz w:val="20"/>
          <w:lang w:val="vi-VN"/>
        </w:rPr>
        <w:t>Statements</w:t>
      </w:r>
      <w:r w:rsidR="000E011B" w:rsidRPr="008D10A6">
        <w:rPr>
          <w:rFonts w:ascii="Arial" w:hAnsi="Arial" w:cs="Arial"/>
          <w:color w:val="010000"/>
          <w:sz w:val="20"/>
        </w:rPr>
        <w:t xml:space="preserve"> 2023.</w:t>
      </w:r>
    </w:p>
    <w:p w14:paraId="0000000A" w14:textId="066D7A9C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Draft </w:t>
      </w:r>
      <w:r w:rsidR="008D10A6" w:rsidRPr="008D10A6">
        <w:rPr>
          <w:rFonts w:ascii="Arial" w:hAnsi="Arial" w:cs="Arial"/>
          <w:color w:val="010000"/>
          <w:sz w:val="20"/>
        </w:rPr>
        <w:t>General Mandate</w:t>
      </w:r>
      <w:r w:rsidRPr="008D10A6">
        <w:rPr>
          <w:rFonts w:ascii="Arial" w:hAnsi="Arial" w:cs="Arial"/>
          <w:color w:val="010000"/>
          <w:sz w:val="20"/>
        </w:rPr>
        <w:t xml:space="preserve"> and Minutes of the Annual General Meeting of Shareholders 2024. </w:t>
      </w:r>
    </w:p>
    <w:p w14:paraId="0000000B" w14:textId="0AA559B8" w:rsidR="00D42F49" w:rsidRPr="008D10A6" w:rsidRDefault="000E011B" w:rsidP="00886D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‎‎Article 2. Agree to approve </w:t>
      </w:r>
      <w:r w:rsidR="00A86C6B" w:rsidRPr="008D10A6">
        <w:rPr>
          <w:rFonts w:ascii="Arial" w:hAnsi="Arial" w:cs="Arial"/>
          <w:color w:val="010000"/>
          <w:sz w:val="20"/>
        </w:rPr>
        <w:t>some</w:t>
      </w:r>
      <w:r w:rsidRPr="008D10A6">
        <w:rPr>
          <w:rFonts w:ascii="Arial" w:hAnsi="Arial" w:cs="Arial"/>
          <w:color w:val="010000"/>
          <w:sz w:val="20"/>
        </w:rPr>
        <w:t xml:space="preserve"> contents presented at the Annual General Meeting of Shareholders 2024 as follows: </w:t>
      </w:r>
    </w:p>
    <w:p w14:paraId="0000000C" w14:textId="77777777" w:rsidR="00D42F49" w:rsidRPr="008D10A6" w:rsidRDefault="000E011B" w:rsidP="00886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Profit distribution plan 2023:</w:t>
      </w:r>
    </w:p>
    <w:p w14:paraId="0000000D" w14:textId="77777777" w:rsidR="00D42F49" w:rsidRPr="008D10A6" w:rsidRDefault="000E011B" w:rsidP="00886D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Profit after tax: VND5,719,042,219 is allocated as follows: </w:t>
      </w:r>
    </w:p>
    <w:p w14:paraId="0000000E" w14:textId="5317A852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Compensate for negative profit after tax due to the statistics adjustment from Q4/2015 to 2018: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>VND150,000,000;</w:t>
      </w:r>
    </w:p>
    <w:p w14:paraId="0000000F" w14:textId="6DD844EE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Appropriation for </w:t>
      </w:r>
      <w:r w:rsidR="00A86C6B" w:rsidRPr="008D10A6">
        <w:rPr>
          <w:rFonts w:ascii="Arial" w:hAnsi="Arial" w:cs="Arial"/>
          <w:color w:val="010000"/>
          <w:sz w:val="20"/>
        </w:rPr>
        <w:t>investment and development fund</w:t>
      </w:r>
      <w:r w:rsidRPr="008D10A6">
        <w:rPr>
          <w:rFonts w:ascii="Arial" w:hAnsi="Arial" w:cs="Arial"/>
          <w:color w:val="010000"/>
          <w:sz w:val="20"/>
        </w:rPr>
        <w:t>: VND1,113,808,444;</w:t>
      </w:r>
    </w:p>
    <w:p w14:paraId="00000010" w14:textId="77777777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Appropriation for bonus and welfare funds: VND1,461,344,275;</w:t>
      </w:r>
    </w:p>
    <w:p w14:paraId="00000011" w14:textId="3B9909B0" w:rsidR="00D42F49" w:rsidRPr="008D10A6" w:rsidRDefault="00A86C6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Appropriation for bonus </w:t>
      </w:r>
      <w:r w:rsidRPr="008D10A6">
        <w:rPr>
          <w:rFonts w:ascii="Arial" w:hAnsi="Arial" w:cs="Arial"/>
          <w:color w:val="010000"/>
          <w:sz w:val="20"/>
          <w:lang w:val="vi-VN"/>
        </w:rPr>
        <w:t>f</w:t>
      </w:r>
      <w:r w:rsidR="000E011B" w:rsidRPr="008D10A6">
        <w:rPr>
          <w:rFonts w:ascii="Arial" w:hAnsi="Arial" w:cs="Arial"/>
          <w:color w:val="010000"/>
          <w:sz w:val="20"/>
        </w:rPr>
        <w:t>und for Managers: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="000E011B" w:rsidRPr="008D10A6">
        <w:rPr>
          <w:rFonts w:ascii="Arial" w:hAnsi="Arial" w:cs="Arial"/>
          <w:color w:val="010000"/>
          <w:sz w:val="20"/>
        </w:rPr>
        <w:t>VND107,089,500;</w:t>
      </w:r>
    </w:p>
    <w:p w14:paraId="00000012" w14:textId="77777777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Dividend payment: VND2,886,800,000 (dividend/capital charter = 5.0%). </w:t>
      </w:r>
    </w:p>
    <w:p w14:paraId="00000013" w14:textId="5C670226" w:rsidR="00D42F49" w:rsidRPr="008D10A6" w:rsidRDefault="00A86C6B" w:rsidP="00886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Temporarily approve</w:t>
      </w:r>
      <w:r w:rsidRPr="008D10A6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8D10A6">
        <w:rPr>
          <w:rFonts w:ascii="Arial" w:hAnsi="Arial" w:cs="Arial"/>
          <w:color w:val="010000"/>
          <w:sz w:val="20"/>
        </w:rPr>
        <w:t xml:space="preserve"> data on </w:t>
      </w:r>
      <w:r w:rsidRPr="008D10A6">
        <w:rPr>
          <w:rFonts w:ascii="Arial" w:hAnsi="Arial" w:cs="Arial"/>
          <w:color w:val="010000"/>
          <w:sz w:val="20"/>
          <w:lang w:val="vi-VN"/>
        </w:rPr>
        <w:t>salary</w:t>
      </w:r>
      <w:r w:rsidR="000E011B" w:rsidRPr="008D10A6">
        <w:rPr>
          <w:rFonts w:ascii="Arial" w:hAnsi="Arial" w:cs="Arial"/>
          <w:color w:val="010000"/>
          <w:sz w:val="20"/>
        </w:rPr>
        <w:t xml:space="preserve">, </w:t>
      </w:r>
      <w:r w:rsidRPr="008D10A6">
        <w:rPr>
          <w:rFonts w:ascii="Arial" w:hAnsi="Arial" w:cs="Arial"/>
          <w:color w:val="010000"/>
          <w:sz w:val="20"/>
        </w:rPr>
        <w:t>remuneration and bonus</w:t>
      </w:r>
      <w:r w:rsidR="000E011B" w:rsidRPr="008D10A6">
        <w:rPr>
          <w:rFonts w:ascii="Arial" w:hAnsi="Arial" w:cs="Arial"/>
          <w:color w:val="010000"/>
          <w:sz w:val="20"/>
        </w:rPr>
        <w:t xml:space="preserve"> for the Board of Directors and the Supervisory Board in 2023; Propose salary for the Board of Directors and the Supervisory Board 2024, specifically: </w:t>
      </w:r>
    </w:p>
    <w:p w14:paraId="00000014" w14:textId="4A80A95A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Total amount of </w:t>
      </w:r>
      <w:r w:rsidR="00A86C6B" w:rsidRPr="008D10A6">
        <w:rPr>
          <w:rFonts w:ascii="Arial" w:hAnsi="Arial" w:cs="Arial"/>
          <w:color w:val="010000"/>
          <w:sz w:val="20"/>
        </w:rPr>
        <w:t>salary, remuneration and bonus</w:t>
      </w:r>
      <w:r w:rsidRPr="008D10A6">
        <w:rPr>
          <w:rFonts w:ascii="Arial" w:hAnsi="Arial" w:cs="Arial"/>
          <w:color w:val="010000"/>
          <w:sz w:val="20"/>
        </w:rPr>
        <w:t xml:space="preserve">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8D10A6">
        <w:rPr>
          <w:rFonts w:ascii="Arial" w:hAnsi="Arial" w:cs="Arial"/>
          <w:color w:val="010000"/>
          <w:sz w:val="20"/>
        </w:rPr>
        <w:t>the Board of Directors and the Supervisory Board in 2023: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>VND1,439,659,762. In which</w:t>
      </w:r>
      <w:r w:rsidR="00A86C6B" w:rsidRPr="008D10A6">
        <w:rPr>
          <w:rFonts w:ascii="Arial" w:hAnsi="Arial" w:cs="Arial"/>
          <w:color w:val="010000"/>
          <w:sz w:val="20"/>
        </w:rPr>
        <w:t>, total salary and re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muneration: </w:t>
      </w:r>
      <w:r w:rsidRPr="008D10A6">
        <w:rPr>
          <w:rFonts w:ascii="Arial" w:hAnsi="Arial" w:cs="Arial"/>
          <w:color w:val="010000"/>
          <w:sz w:val="20"/>
        </w:rPr>
        <w:t>VND1,368,059,762</w:t>
      </w:r>
      <w:r w:rsidR="00A86C6B" w:rsidRPr="008D10A6">
        <w:rPr>
          <w:rFonts w:ascii="Arial" w:hAnsi="Arial" w:cs="Arial"/>
          <w:color w:val="010000"/>
          <w:sz w:val="20"/>
        </w:rPr>
        <w:t xml:space="preserve"> and the total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bonuses: </w:t>
      </w:r>
      <w:r w:rsidRPr="008D10A6">
        <w:rPr>
          <w:rFonts w:ascii="Arial" w:hAnsi="Arial" w:cs="Arial"/>
          <w:color w:val="010000"/>
          <w:sz w:val="20"/>
        </w:rPr>
        <w:t xml:space="preserve">VND71,600,000. </w:t>
      </w:r>
    </w:p>
    <w:p w14:paraId="00000015" w14:textId="513FA479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Total amount of </w:t>
      </w:r>
      <w:r w:rsidR="00A86C6B" w:rsidRPr="008D10A6">
        <w:rPr>
          <w:rFonts w:ascii="Arial" w:hAnsi="Arial" w:cs="Arial"/>
          <w:color w:val="010000"/>
          <w:sz w:val="20"/>
        </w:rPr>
        <w:t xml:space="preserve">salary, remuneration and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>bonus</w:t>
      </w:r>
      <w:r w:rsidRPr="008D10A6">
        <w:rPr>
          <w:rFonts w:ascii="Arial" w:hAnsi="Arial" w:cs="Arial"/>
          <w:color w:val="010000"/>
          <w:sz w:val="20"/>
        </w:rPr>
        <w:t xml:space="preserve">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8D10A6">
        <w:rPr>
          <w:rFonts w:ascii="Arial" w:hAnsi="Arial" w:cs="Arial"/>
          <w:color w:val="010000"/>
          <w:sz w:val="20"/>
        </w:rPr>
        <w:t>the Board of Directors and the Supervisory Board in 2024: VND1,387,200,000.</w:t>
      </w:r>
    </w:p>
    <w:p w14:paraId="00000016" w14:textId="0B2E5C97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lastRenderedPageBreak/>
        <w:t xml:space="preserve">Salary fund, remuneration fund and bonus fund of the Company's </w:t>
      </w:r>
      <w:r w:rsidR="00A86C6B" w:rsidRPr="008D10A6">
        <w:rPr>
          <w:rFonts w:ascii="Arial" w:hAnsi="Arial" w:cs="Arial"/>
          <w:color w:val="010000"/>
          <w:sz w:val="20"/>
          <w:lang w:val="vi-VN"/>
        </w:rPr>
        <w:t xml:space="preserve">manager: Implement </w:t>
      </w:r>
      <w:r w:rsidRPr="008D10A6">
        <w:rPr>
          <w:rFonts w:ascii="Arial" w:hAnsi="Arial" w:cs="Arial"/>
          <w:color w:val="010000"/>
          <w:sz w:val="20"/>
        </w:rPr>
        <w:t xml:space="preserve">according to Circular </w:t>
      </w:r>
      <w:r w:rsidR="00217396" w:rsidRPr="008D10A6">
        <w:rPr>
          <w:rFonts w:ascii="Arial" w:hAnsi="Arial" w:cs="Arial"/>
          <w:color w:val="010000"/>
          <w:sz w:val="20"/>
        </w:rPr>
        <w:t xml:space="preserve">No. </w:t>
      </w:r>
      <w:r w:rsidRPr="008D10A6">
        <w:rPr>
          <w:rFonts w:ascii="Arial" w:hAnsi="Arial" w:cs="Arial"/>
          <w:color w:val="010000"/>
          <w:sz w:val="20"/>
        </w:rPr>
        <w:t xml:space="preserve">28/2016/TT-BLDTBXH dated September 01, 2016 of the Ministry of Labor, Invalids and Social Affairs. </w:t>
      </w:r>
    </w:p>
    <w:p w14:paraId="00000017" w14:textId="414A594F" w:rsidR="00D42F49" w:rsidRPr="008D10A6" w:rsidRDefault="00A86C6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  <w:lang w:val="vi-VN"/>
        </w:rPr>
        <w:t>P</w:t>
      </w:r>
      <w:r w:rsidR="000E011B" w:rsidRPr="008D10A6">
        <w:rPr>
          <w:rFonts w:ascii="Arial" w:hAnsi="Arial" w:cs="Arial"/>
          <w:color w:val="010000"/>
          <w:sz w:val="20"/>
        </w:rPr>
        <w:t xml:space="preserve">ropose the General Meeting of Shareholders to authorize the Board of Directors to approve the Settlement </w:t>
      </w:r>
      <w:r w:rsidRPr="008D10A6">
        <w:rPr>
          <w:rFonts w:ascii="Arial" w:hAnsi="Arial" w:cs="Arial"/>
          <w:color w:val="010000"/>
          <w:sz w:val="20"/>
          <w:lang w:val="vi-VN"/>
        </w:rPr>
        <w:t>of</w:t>
      </w:r>
      <w:r w:rsidR="000E011B" w:rsidRPr="008D10A6">
        <w:rPr>
          <w:rFonts w:ascii="Arial" w:hAnsi="Arial" w:cs="Arial"/>
          <w:color w:val="010000"/>
          <w:sz w:val="20"/>
        </w:rPr>
        <w:t xml:space="preserve"> salary, remuneration and bonus of the Board of Directors, the Supervisory Board </w:t>
      </w:r>
      <w:r w:rsidRPr="008D10A6">
        <w:rPr>
          <w:rFonts w:ascii="Arial" w:hAnsi="Arial" w:cs="Arial"/>
          <w:color w:val="010000"/>
          <w:sz w:val="20"/>
          <w:lang w:val="vi-VN"/>
        </w:rPr>
        <w:t>of the next years after</w:t>
      </w:r>
      <w:r w:rsidR="000E011B" w:rsidRPr="008D10A6">
        <w:rPr>
          <w:rFonts w:ascii="Arial" w:hAnsi="Arial" w:cs="Arial"/>
          <w:color w:val="010000"/>
          <w:sz w:val="20"/>
        </w:rPr>
        <w:t xml:space="preserve"> receiving approval </w:t>
      </w:r>
      <w:r w:rsidRPr="008D10A6">
        <w:rPr>
          <w:rFonts w:ascii="Arial" w:hAnsi="Arial" w:cs="Arial"/>
          <w:color w:val="010000"/>
          <w:sz w:val="20"/>
          <w:lang w:val="vi-VN"/>
        </w:rPr>
        <w:t xml:space="preserve">from </w:t>
      </w:r>
      <w:r w:rsidR="000E011B" w:rsidRPr="008D10A6">
        <w:rPr>
          <w:rFonts w:ascii="Arial" w:hAnsi="Arial" w:cs="Arial"/>
          <w:color w:val="010000"/>
          <w:sz w:val="20"/>
        </w:rPr>
        <w:t xml:space="preserve">competent authority. </w:t>
      </w:r>
    </w:p>
    <w:p w14:paraId="00000018" w14:textId="60A8E23A" w:rsidR="00D42F49" w:rsidRPr="008D10A6" w:rsidRDefault="00A86C6B" w:rsidP="00886D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  <w:lang w:val="vi-VN"/>
        </w:rPr>
        <w:t xml:space="preserve">Select </w:t>
      </w:r>
      <w:r w:rsidR="00804A50" w:rsidRPr="008D10A6">
        <w:rPr>
          <w:rFonts w:ascii="Arial" w:hAnsi="Arial" w:cs="Arial"/>
          <w:color w:val="010000"/>
          <w:sz w:val="20"/>
          <w:lang w:val="vi-VN"/>
        </w:rPr>
        <w:t>AA</w:t>
      </w:r>
      <w:r w:rsidR="000E011B" w:rsidRPr="008D10A6">
        <w:rPr>
          <w:rFonts w:ascii="Arial" w:hAnsi="Arial" w:cs="Arial"/>
          <w:color w:val="010000"/>
          <w:sz w:val="20"/>
        </w:rPr>
        <w:t xml:space="preserve">C Auditing and Accounting Company Limited as an independent audit company to audit </w:t>
      </w:r>
      <w:r w:rsidR="00804A50" w:rsidRPr="008D10A6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0E011B" w:rsidRPr="008D10A6">
        <w:rPr>
          <w:rFonts w:ascii="Arial" w:hAnsi="Arial" w:cs="Arial"/>
          <w:color w:val="010000"/>
          <w:sz w:val="20"/>
        </w:rPr>
        <w:t xml:space="preserve">Financial Statements 2024 of the Da Nang Urban Environment Joint Stock Company. </w:t>
      </w:r>
    </w:p>
    <w:p w14:paraId="00000019" w14:textId="5105E947" w:rsidR="00D42F49" w:rsidRPr="008D10A6" w:rsidRDefault="000E011B" w:rsidP="00886D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>‎‎Article 3</w:t>
      </w:r>
      <w:r w:rsidR="00804A50" w:rsidRPr="008D10A6">
        <w:rPr>
          <w:rFonts w:ascii="Arial" w:hAnsi="Arial" w:cs="Arial"/>
          <w:color w:val="010000"/>
          <w:sz w:val="20"/>
        </w:rPr>
        <w:t xml:space="preserve">. </w:t>
      </w:r>
      <w:r w:rsidR="00804A50" w:rsidRPr="008D10A6">
        <w:rPr>
          <w:rFonts w:ascii="Arial" w:hAnsi="Arial" w:cs="Arial"/>
          <w:color w:val="010000"/>
          <w:sz w:val="20"/>
          <w:lang w:val="vi-VN"/>
        </w:rPr>
        <w:t>Assign t</w:t>
      </w:r>
      <w:r w:rsidRPr="008D10A6">
        <w:rPr>
          <w:rFonts w:ascii="Arial" w:hAnsi="Arial" w:cs="Arial"/>
          <w:color w:val="010000"/>
          <w:sz w:val="20"/>
        </w:rPr>
        <w:t>he General Manager to:</w:t>
      </w:r>
    </w:p>
    <w:p w14:paraId="0000001A" w14:textId="1DC02D3A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Monitor functional Departments, </w:t>
      </w:r>
      <w:r w:rsidR="00804A50" w:rsidRPr="008D10A6">
        <w:rPr>
          <w:rFonts w:ascii="Arial" w:hAnsi="Arial" w:cs="Arial"/>
          <w:color w:val="010000"/>
          <w:sz w:val="20"/>
        </w:rPr>
        <w:t xml:space="preserve">and </w:t>
      </w:r>
      <w:r w:rsidRPr="008D10A6">
        <w:rPr>
          <w:rFonts w:ascii="Arial" w:hAnsi="Arial" w:cs="Arial"/>
          <w:color w:val="010000"/>
          <w:sz w:val="20"/>
        </w:rPr>
        <w:t xml:space="preserve">transportation companies to report specific information about the vehicle conditions, repair </w:t>
      </w:r>
      <w:r w:rsidR="00804A50" w:rsidRPr="008D10A6">
        <w:rPr>
          <w:rFonts w:ascii="Arial" w:hAnsi="Arial" w:cs="Arial"/>
          <w:color w:val="010000"/>
          <w:sz w:val="20"/>
        </w:rPr>
        <w:t>expenses</w:t>
      </w:r>
      <w:r w:rsidRPr="008D10A6">
        <w:rPr>
          <w:rFonts w:ascii="Arial" w:hAnsi="Arial" w:cs="Arial"/>
          <w:color w:val="010000"/>
          <w:sz w:val="20"/>
        </w:rPr>
        <w:t xml:space="preserve">, appropriation rate, etc. in the context of waste collection, transportation and treatment in Ba Na. Report these mentioned contents to the Board of Directors before July 05, 2024. </w:t>
      </w:r>
    </w:p>
    <w:p w14:paraId="0000001B" w14:textId="3E2F9C1F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D10A6">
        <w:rPr>
          <w:rFonts w:ascii="Arial" w:hAnsi="Arial" w:cs="Arial"/>
          <w:color w:val="010000"/>
          <w:sz w:val="20"/>
        </w:rPr>
        <w:t>Direct fu</w:t>
      </w:r>
      <w:r w:rsidR="00804A50" w:rsidRPr="008D10A6">
        <w:rPr>
          <w:rFonts w:ascii="Arial" w:hAnsi="Arial" w:cs="Arial"/>
          <w:color w:val="010000"/>
          <w:sz w:val="20"/>
        </w:rPr>
        <w:t xml:space="preserve">nctional Departments to report the explanation </w:t>
      </w:r>
      <w:r w:rsidRPr="008D10A6">
        <w:rPr>
          <w:rFonts w:ascii="Arial" w:hAnsi="Arial" w:cs="Arial"/>
          <w:color w:val="010000"/>
          <w:sz w:val="20"/>
        </w:rPr>
        <w:t>and clarify contents related to appraisal, unit price of beach cleaning (manu</w:t>
      </w:r>
      <w:r w:rsidR="00804A50" w:rsidRPr="008D10A6">
        <w:rPr>
          <w:rFonts w:ascii="Arial" w:hAnsi="Arial" w:cs="Arial"/>
          <w:color w:val="010000"/>
          <w:sz w:val="20"/>
        </w:rPr>
        <w:t>al or mechanized) and Han River</w:t>
      </w:r>
      <w:r w:rsidRPr="008D10A6">
        <w:rPr>
          <w:rFonts w:ascii="Arial" w:hAnsi="Arial" w:cs="Arial"/>
          <w:color w:val="010000"/>
          <w:sz w:val="20"/>
        </w:rPr>
        <w:t xml:space="preserve"> trash removal according to the recommendation of the Supervisory Board.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>Deadline: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>in July 2024</w:t>
      </w:r>
    </w:p>
    <w:p w14:paraId="0000001C" w14:textId="77995077" w:rsidR="00D42F49" w:rsidRPr="008D10A6" w:rsidRDefault="000E011B" w:rsidP="00886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Develop 02 specific plans for refurbishing an expanding Khanh Son hazardous waste treatment area (the Company implements the entire project itself; </w:t>
      </w:r>
      <w:r w:rsidR="00804A50" w:rsidRPr="008D10A6">
        <w:rPr>
          <w:rFonts w:ascii="Arial" w:hAnsi="Arial" w:cs="Arial"/>
          <w:color w:val="010000"/>
          <w:sz w:val="20"/>
        </w:rPr>
        <w:t xml:space="preserve">and </w:t>
      </w:r>
      <w:r w:rsidRPr="008D10A6">
        <w:rPr>
          <w:rFonts w:ascii="Arial" w:hAnsi="Arial" w:cs="Arial"/>
          <w:color w:val="010000"/>
          <w:sz w:val="20"/>
        </w:rPr>
        <w:t xml:space="preserve">implements joint ventures with outside companies). These will be presented to the Board of Directors to </w:t>
      </w:r>
      <w:r w:rsidR="00804A50" w:rsidRPr="008D10A6">
        <w:rPr>
          <w:rFonts w:ascii="Arial" w:hAnsi="Arial" w:cs="Arial"/>
          <w:color w:val="010000"/>
          <w:sz w:val="20"/>
        </w:rPr>
        <w:t>consider</w:t>
      </w:r>
      <w:r w:rsidRPr="008D10A6">
        <w:rPr>
          <w:rFonts w:ascii="Arial" w:hAnsi="Arial" w:cs="Arial"/>
          <w:color w:val="010000"/>
          <w:sz w:val="20"/>
        </w:rPr>
        <w:t xml:space="preserve"> and decide.</w:t>
      </w:r>
      <w:r w:rsidR="00217396" w:rsidRPr="008D10A6">
        <w:rPr>
          <w:rFonts w:ascii="Arial" w:hAnsi="Arial" w:cs="Arial"/>
          <w:color w:val="010000"/>
          <w:sz w:val="20"/>
        </w:rPr>
        <w:t xml:space="preserve"> </w:t>
      </w:r>
      <w:r w:rsidRPr="008D10A6">
        <w:rPr>
          <w:rFonts w:ascii="Arial" w:hAnsi="Arial" w:cs="Arial"/>
          <w:color w:val="010000"/>
          <w:sz w:val="20"/>
        </w:rPr>
        <w:t xml:space="preserve">Deadline: in June 2024. </w:t>
      </w:r>
    </w:p>
    <w:p w14:paraId="0000001D" w14:textId="10686FF2" w:rsidR="00D42F49" w:rsidRPr="008D10A6" w:rsidRDefault="000E011B" w:rsidP="00886DC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D10A6">
        <w:rPr>
          <w:rFonts w:ascii="Arial" w:hAnsi="Arial" w:cs="Arial"/>
          <w:color w:val="010000"/>
          <w:sz w:val="20"/>
        </w:rPr>
        <w:t xml:space="preserve">‎‎Article 4. This Resolution takes effect from the date of its signing. Members of the Board of Directors; the Supervisory Board; the Board of Management; </w:t>
      </w:r>
      <w:r w:rsidR="00804A50" w:rsidRPr="008D10A6">
        <w:rPr>
          <w:rFonts w:ascii="Arial" w:hAnsi="Arial" w:cs="Arial"/>
          <w:color w:val="010000"/>
          <w:sz w:val="20"/>
        </w:rPr>
        <w:t xml:space="preserve">the </w:t>
      </w:r>
      <w:r w:rsidRPr="008D10A6">
        <w:rPr>
          <w:rFonts w:ascii="Arial" w:hAnsi="Arial" w:cs="Arial"/>
          <w:color w:val="010000"/>
          <w:sz w:val="20"/>
        </w:rPr>
        <w:t>Heads of affiliated departments and relevant units of the Company are responsible for the implementation of this Resolution.</w:t>
      </w:r>
    </w:p>
    <w:sectPr w:rsidR="00D42F49" w:rsidRPr="008D10A6" w:rsidSect="00886DC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408F"/>
    <w:multiLevelType w:val="multilevel"/>
    <w:tmpl w:val="D98EA4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8A1785"/>
    <w:multiLevelType w:val="multilevel"/>
    <w:tmpl w:val="F630414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9"/>
    <w:rsid w:val="000E011B"/>
    <w:rsid w:val="00217396"/>
    <w:rsid w:val="00804A50"/>
    <w:rsid w:val="00886DCE"/>
    <w:rsid w:val="008D10A6"/>
    <w:rsid w:val="00A86C6B"/>
    <w:rsid w:val="00D42F49"/>
    <w:rsid w:val="00F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61842"/>
  <w15:docId w15:val="{1AC20A72-3A5C-4F77-8671-B05A98E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62" w:lineRule="auto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line="214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QKlnIeloN9Ves0BaeGxv5WvtFA==">CgMxLjAyCGguZ2pkZ3hzOAByITF0THNFMFJocDBtQl9XRlhjWmdBUTlPbkI0WVRTZktnOQ==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589</Words>
  <Characters>3379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2024-06-21T03:20:00Z</dcterms:created>
  <dcterms:modified xsi:type="dcterms:W3CDTF">2024-06-24T01:23:00Z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9df3bf2ae7be62df41bd354c0efad383ee468f07b14aee4e09b27d27b09f9be3</vt:lpwstr>
  </property>
</Properties>
</file>