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8D2B9C7" w:rsidR="006D318A" w:rsidRPr="00B44CD1" w:rsidRDefault="00FC42D8" w:rsidP="002B4F1A">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lang w:val="vi-VN"/>
        </w:rPr>
      </w:pPr>
      <w:r w:rsidRPr="00B44CD1">
        <w:rPr>
          <w:rFonts w:ascii="Arial" w:hAnsi="Arial" w:cs="Arial"/>
          <w:b/>
          <w:bCs/>
          <w:color w:val="010000"/>
          <w:sz w:val="20"/>
        </w:rPr>
        <w:t>CTG123019:</w:t>
      </w:r>
      <w:r w:rsidRPr="00B44CD1">
        <w:rPr>
          <w:rFonts w:ascii="Arial" w:hAnsi="Arial" w:cs="Arial"/>
          <w:b/>
          <w:color w:val="010000"/>
          <w:sz w:val="20"/>
        </w:rPr>
        <w:t xml:space="preserve"> Notice on the record date</w:t>
      </w:r>
      <w:r w:rsidR="00AE2C8F" w:rsidRPr="00B44CD1">
        <w:rPr>
          <w:rFonts w:ascii="Arial" w:hAnsi="Arial" w:cs="Arial"/>
          <w:b/>
          <w:color w:val="010000"/>
          <w:sz w:val="20"/>
          <w:lang w:val="vi-VN"/>
        </w:rPr>
        <w:t xml:space="preserve"> </w:t>
      </w:r>
      <w:r w:rsidR="00AE2C8F" w:rsidRPr="00B44CD1">
        <w:rPr>
          <w:rFonts w:ascii="Arial" w:hAnsi="Arial" w:cs="Arial"/>
          <w:b/>
          <w:color w:val="010000"/>
          <w:sz w:val="20"/>
        </w:rPr>
        <w:t>an</w:t>
      </w:r>
      <w:bookmarkStart w:id="0" w:name="_GoBack"/>
      <w:bookmarkEnd w:id="0"/>
      <w:r w:rsidR="00AE2C8F" w:rsidRPr="00B44CD1">
        <w:rPr>
          <w:rFonts w:ascii="Arial" w:hAnsi="Arial" w:cs="Arial"/>
          <w:b/>
          <w:color w:val="010000"/>
          <w:sz w:val="20"/>
        </w:rPr>
        <w:t>d the confirmation of the list of securities owners</w:t>
      </w:r>
    </w:p>
    <w:p w14:paraId="00000002" w14:textId="7D2DC1DA" w:rsidR="006D318A" w:rsidRPr="00B44CD1" w:rsidRDefault="00FC42D8" w:rsidP="002B4F1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44CD1">
        <w:rPr>
          <w:rFonts w:ascii="Arial" w:hAnsi="Arial" w:cs="Arial"/>
          <w:color w:val="010000"/>
          <w:sz w:val="20"/>
        </w:rPr>
        <w:t xml:space="preserve">On June 19, 2024, Vietnam Securities Depository and Clearing Corporation announced Notice </w:t>
      </w:r>
      <w:r w:rsidR="00994F33" w:rsidRPr="00B44CD1">
        <w:rPr>
          <w:rFonts w:ascii="Arial" w:hAnsi="Arial" w:cs="Arial"/>
          <w:color w:val="010000"/>
          <w:sz w:val="20"/>
        </w:rPr>
        <w:t xml:space="preserve">No. </w:t>
      </w:r>
      <w:r w:rsidRPr="00B44CD1">
        <w:rPr>
          <w:rFonts w:ascii="Arial" w:hAnsi="Arial" w:cs="Arial"/>
          <w:color w:val="010000"/>
          <w:sz w:val="20"/>
        </w:rPr>
        <w:t>2632/TB-VSDC on the record date and the confirmation of the list of securities owners as follows:</w:t>
      </w:r>
    </w:p>
    <w:p w14:paraId="00000003" w14:textId="5043660A"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 xml:space="preserve">Name of Issuer: Corporate </w:t>
      </w:r>
      <w:r w:rsidR="00AE2C8F" w:rsidRPr="00B44CD1">
        <w:rPr>
          <w:rFonts w:ascii="Arial" w:hAnsi="Arial" w:cs="Arial"/>
          <w:color w:val="010000"/>
          <w:sz w:val="20"/>
          <w:lang w:val="vi-VN"/>
        </w:rPr>
        <w:t>bonds</w:t>
      </w:r>
      <w:r w:rsidRPr="00B44CD1">
        <w:rPr>
          <w:rFonts w:ascii="Arial" w:hAnsi="Arial" w:cs="Arial"/>
          <w:color w:val="010000"/>
          <w:sz w:val="20"/>
        </w:rPr>
        <w:t xml:space="preserve"> of Vietnam Joint Stock Commercial Bank of Industry and Trade </w:t>
      </w:r>
    </w:p>
    <w:p w14:paraId="00000004" w14:textId="3978A2BF"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 xml:space="preserve">Securities name: 10-year term </w:t>
      </w:r>
      <w:r w:rsidR="00AE2C8F" w:rsidRPr="00B44CD1">
        <w:rPr>
          <w:rFonts w:ascii="Arial" w:hAnsi="Arial" w:cs="Arial"/>
          <w:color w:val="010000"/>
          <w:sz w:val="20"/>
          <w:lang w:val="vi-VN"/>
        </w:rPr>
        <w:t>bonds</w:t>
      </w:r>
      <w:r w:rsidRPr="00B44CD1">
        <w:rPr>
          <w:rFonts w:ascii="Arial" w:hAnsi="Arial" w:cs="Arial"/>
          <w:color w:val="010000"/>
          <w:sz w:val="20"/>
        </w:rPr>
        <w:t xml:space="preserve"> (CTG2232T2/01)</w:t>
      </w:r>
    </w:p>
    <w:p w14:paraId="00000005" w14:textId="77777777"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Securities code: CTG123019</w:t>
      </w:r>
    </w:p>
    <w:p w14:paraId="00000006" w14:textId="77777777"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ISIN code: VNCTG1230199</w:t>
      </w:r>
    </w:p>
    <w:p w14:paraId="00000007" w14:textId="77777777"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Exchange: HNX</w:t>
      </w:r>
    </w:p>
    <w:p w14:paraId="00000008" w14:textId="77777777"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Securities type: Corporate bonds</w:t>
      </w:r>
    </w:p>
    <w:p w14:paraId="00000009" w14:textId="77777777"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Transaction par value: VND100,000</w:t>
      </w:r>
    </w:p>
    <w:p w14:paraId="0000000A" w14:textId="77777777"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Term: 10 years</w:t>
      </w:r>
    </w:p>
    <w:p w14:paraId="0000000B" w14:textId="77777777"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Issuance date: July 20, 2023</w:t>
      </w:r>
    </w:p>
    <w:p w14:paraId="0000000C" w14:textId="77777777"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Maturity date: July 20, 2033</w:t>
      </w:r>
    </w:p>
    <w:p w14:paraId="0000000D" w14:textId="77777777"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Interest rate of term 1: 7.6%/year</w:t>
      </w:r>
    </w:p>
    <w:p w14:paraId="0000000E" w14:textId="77777777"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Record date: July 8, 2024</w:t>
      </w:r>
    </w:p>
    <w:p w14:paraId="0000000F" w14:textId="7B2F09B4"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 xml:space="preserve">Reason and purpose: Pay bond interest for term 1 (from and including July 20, 2023 to and excluding July 20, 2024) of CTG123019 </w:t>
      </w:r>
      <w:r w:rsidR="00AE2C8F" w:rsidRPr="00B44CD1">
        <w:rPr>
          <w:rFonts w:ascii="Arial" w:hAnsi="Arial" w:cs="Arial"/>
          <w:color w:val="010000"/>
          <w:sz w:val="20"/>
          <w:lang w:val="vi-VN"/>
        </w:rPr>
        <w:t>bonds</w:t>
      </w:r>
    </w:p>
    <w:p w14:paraId="00000010" w14:textId="77777777" w:rsidR="006D318A" w:rsidRPr="00B44CD1" w:rsidRDefault="00FC42D8" w:rsidP="002B4F1A">
      <w:pPr>
        <w:numPr>
          <w:ilvl w:val="0"/>
          <w:numId w:val="3"/>
        </w:numPr>
        <w:pBdr>
          <w:top w:val="nil"/>
          <w:left w:val="nil"/>
          <w:bottom w:val="nil"/>
          <w:right w:val="nil"/>
          <w:between w:val="nil"/>
        </w:pBdr>
        <w:tabs>
          <w:tab w:val="left" w:pos="432"/>
          <w:tab w:val="left" w:pos="2865"/>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Exercise rate: Bondholders receive VND7,600 for every bond they own, in which:</w:t>
      </w:r>
    </w:p>
    <w:p w14:paraId="00000011" w14:textId="77777777" w:rsidR="006D318A" w:rsidRPr="00B44CD1" w:rsidRDefault="00FC42D8" w:rsidP="002B4F1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The bond interest is calculated according to the formula: Interest entitled for a full interest payment term = Par value of bond owned x 7.6%.</w:t>
      </w:r>
    </w:p>
    <w:p w14:paraId="00000012" w14:textId="56942D82" w:rsidR="006D318A" w:rsidRPr="00B44CD1" w:rsidRDefault="00FC42D8" w:rsidP="002B4F1A">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The total amount of bond interest received by the bondholders will be rounded to the nearest unit (if the first decimal place is equal to or greater than 5, the number is rounded up; if the first decimal place is less than 5, the decimal part is canceled).</w:t>
      </w:r>
    </w:p>
    <w:p w14:paraId="00000013" w14:textId="77777777" w:rsidR="006D318A" w:rsidRPr="00B44CD1" w:rsidRDefault="00FC42D8" w:rsidP="002B4F1A">
      <w:pPr>
        <w:numPr>
          <w:ilvl w:val="0"/>
          <w:numId w:val="2"/>
        </w:numPr>
        <w:pBdr>
          <w:top w:val="nil"/>
          <w:left w:val="nil"/>
          <w:bottom w:val="nil"/>
          <w:right w:val="nil"/>
          <w:between w:val="nil"/>
        </w:pBdr>
        <w:tabs>
          <w:tab w:val="left" w:pos="432"/>
          <w:tab w:val="left" w:pos="1291"/>
        </w:tabs>
        <w:spacing w:after="120" w:line="360" w:lineRule="auto"/>
        <w:jc w:val="both"/>
        <w:rPr>
          <w:rFonts w:ascii="Arial" w:eastAsia="Arial" w:hAnsi="Arial" w:cs="Arial"/>
          <w:color w:val="010000"/>
          <w:sz w:val="20"/>
          <w:szCs w:val="20"/>
        </w:rPr>
      </w:pPr>
      <w:r w:rsidRPr="00B44CD1">
        <w:rPr>
          <w:rFonts w:ascii="Arial" w:hAnsi="Arial" w:cs="Arial"/>
          <w:color w:val="010000"/>
          <w:sz w:val="20"/>
        </w:rPr>
        <w:t>Date of payment: July 22, 2024 (because July 20, 2024 and July 21, 2024 are not working days)</w:t>
      </w:r>
    </w:p>
    <w:p w14:paraId="00000014" w14:textId="77777777" w:rsidR="006D318A" w:rsidRPr="00B44CD1" w:rsidRDefault="00FC42D8" w:rsidP="002B4F1A">
      <w:pPr>
        <w:numPr>
          <w:ilvl w:val="0"/>
          <w:numId w:val="2"/>
        </w:numPr>
        <w:pBdr>
          <w:top w:val="nil"/>
          <w:left w:val="nil"/>
          <w:bottom w:val="nil"/>
          <w:right w:val="nil"/>
          <w:between w:val="nil"/>
        </w:pBdr>
        <w:tabs>
          <w:tab w:val="left" w:pos="432"/>
          <w:tab w:val="left" w:pos="1232"/>
        </w:tabs>
        <w:spacing w:after="120" w:line="360" w:lineRule="auto"/>
        <w:jc w:val="both"/>
        <w:rPr>
          <w:rFonts w:ascii="Arial" w:eastAsia="Arial" w:hAnsi="Arial" w:cs="Arial"/>
          <w:color w:val="010000"/>
          <w:sz w:val="20"/>
          <w:szCs w:val="20"/>
        </w:rPr>
      </w:pPr>
      <w:r w:rsidRPr="00B44CD1">
        <w:rPr>
          <w:rFonts w:ascii="Arial" w:hAnsi="Arial" w:cs="Arial"/>
          <w:color w:val="010000"/>
          <w:sz w:val="20"/>
        </w:rPr>
        <w:t>Implementation location:</w:t>
      </w:r>
    </w:p>
    <w:p w14:paraId="00000015" w14:textId="77777777" w:rsidR="006D318A" w:rsidRPr="00B44CD1" w:rsidRDefault="00FC42D8" w:rsidP="002B4F1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For deposited securities: Owners receive bonds at Depository Members where depository accounts are opened.</w:t>
      </w:r>
    </w:p>
    <w:p w14:paraId="00000016" w14:textId="41836BC3" w:rsidR="006D318A" w:rsidRPr="00B44CD1" w:rsidRDefault="00FC42D8" w:rsidP="002B4F1A">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B44CD1">
        <w:rPr>
          <w:rFonts w:ascii="Arial" w:hAnsi="Arial" w:cs="Arial"/>
          <w:color w:val="010000"/>
          <w:sz w:val="20"/>
        </w:rPr>
        <w:t xml:space="preserve">For </w:t>
      </w:r>
      <w:proofErr w:type="spellStart"/>
      <w:r w:rsidRPr="00B44CD1">
        <w:rPr>
          <w:rFonts w:ascii="Arial" w:hAnsi="Arial" w:cs="Arial"/>
          <w:color w:val="010000"/>
          <w:sz w:val="20"/>
        </w:rPr>
        <w:t>undeposited</w:t>
      </w:r>
      <w:proofErr w:type="spellEnd"/>
      <w:r w:rsidRPr="00B44CD1">
        <w:rPr>
          <w:rFonts w:ascii="Arial" w:hAnsi="Arial" w:cs="Arial"/>
          <w:color w:val="010000"/>
          <w:sz w:val="20"/>
        </w:rPr>
        <w:t xml:space="preserve"> securities: Corporate bond interest will be paid to the account </w:t>
      </w:r>
      <w:r w:rsidR="00AE2C8F" w:rsidRPr="00B44CD1">
        <w:rPr>
          <w:rFonts w:ascii="Arial" w:hAnsi="Arial" w:cs="Arial"/>
          <w:color w:val="010000"/>
          <w:sz w:val="20"/>
        </w:rPr>
        <w:t xml:space="preserve">that the owner registered with </w:t>
      </w:r>
      <w:r w:rsidRPr="00B44CD1">
        <w:rPr>
          <w:rFonts w:ascii="Arial" w:hAnsi="Arial" w:cs="Arial"/>
          <w:color w:val="010000"/>
          <w:sz w:val="20"/>
        </w:rPr>
        <w:t>Vietnam Joint Stock Commercial Bank of Industry and Trade on July 22, 2</w:t>
      </w:r>
      <w:r w:rsidR="00B44CD1">
        <w:rPr>
          <w:rFonts w:ascii="Arial" w:hAnsi="Arial" w:cs="Arial"/>
          <w:color w:val="010000"/>
          <w:sz w:val="20"/>
        </w:rPr>
        <w:t>02</w:t>
      </w:r>
      <w:r w:rsidRPr="00B44CD1">
        <w:rPr>
          <w:rFonts w:ascii="Arial" w:hAnsi="Arial" w:cs="Arial"/>
          <w:color w:val="010000"/>
          <w:sz w:val="20"/>
        </w:rPr>
        <w:t>4.</w:t>
      </w:r>
    </w:p>
    <w:sectPr w:rsidR="006D318A" w:rsidRPr="00B44CD1" w:rsidSect="00D11C3A">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BC6"/>
    <w:multiLevelType w:val="multilevel"/>
    <w:tmpl w:val="B5C27DC8"/>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10937F2"/>
    <w:multiLevelType w:val="multilevel"/>
    <w:tmpl w:val="F61C2A7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60A3691"/>
    <w:multiLevelType w:val="multilevel"/>
    <w:tmpl w:val="309676E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7E69E8"/>
    <w:multiLevelType w:val="multilevel"/>
    <w:tmpl w:val="4A20181A"/>
    <w:lvl w:ilvl="0">
      <w:start w:val="1"/>
      <w:numFmt w:val="bullet"/>
      <w:lvlText w:val="-"/>
      <w:lvlJc w:val="left"/>
      <w:pPr>
        <w:ind w:left="1090" w:hanging="360"/>
      </w:pPr>
      <w:rPr>
        <w:rFonts w:ascii="Arial" w:eastAsia="Arial" w:hAnsi="Arial" w:cs="Arial"/>
        <w:b w:val="0"/>
        <w:i w:val="0"/>
        <w:sz w:val="20"/>
        <w:szCs w:val="20"/>
        <w:u w:val="none"/>
      </w:rPr>
    </w:lvl>
    <w:lvl w:ilvl="1">
      <w:start w:val="1"/>
      <w:numFmt w:val="bullet"/>
      <w:lvlText w:val="o"/>
      <w:lvlJc w:val="left"/>
      <w:pPr>
        <w:ind w:left="1810" w:hanging="360"/>
      </w:pPr>
      <w:rPr>
        <w:rFonts w:ascii="Arial" w:eastAsia="Arial" w:hAnsi="Arial" w:cs="Arial"/>
        <w:b w:val="0"/>
        <w:i w:val="0"/>
        <w:sz w:val="20"/>
        <w:szCs w:val="20"/>
      </w:rPr>
    </w:lvl>
    <w:lvl w:ilvl="2">
      <w:start w:val="1"/>
      <w:numFmt w:val="bullet"/>
      <w:lvlText w:val=""/>
      <w:lvlJc w:val="left"/>
      <w:pPr>
        <w:ind w:left="2530" w:hanging="360"/>
      </w:pPr>
      <w:rPr>
        <w:rFonts w:ascii="Arial" w:eastAsia="Arial" w:hAnsi="Arial" w:cs="Arial"/>
        <w:b w:val="0"/>
        <w:i w:val="0"/>
        <w:sz w:val="20"/>
        <w:szCs w:val="20"/>
      </w:rPr>
    </w:lvl>
    <w:lvl w:ilvl="3">
      <w:start w:val="1"/>
      <w:numFmt w:val="bullet"/>
      <w:lvlText w:val="●"/>
      <w:lvlJc w:val="left"/>
      <w:pPr>
        <w:ind w:left="3250" w:hanging="360"/>
      </w:pPr>
      <w:rPr>
        <w:rFonts w:ascii="Noto Sans Symbols" w:eastAsia="Noto Sans Symbols" w:hAnsi="Noto Sans Symbols" w:cs="Noto Sans Symbols"/>
      </w:rPr>
    </w:lvl>
    <w:lvl w:ilvl="4">
      <w:start w:val="1"/>
      <w:numFmt w:val="bullet"/>
      <w:lvlText w:val="o"/>
      <w:lvlJc w:val="left"/>
      <w:pPr>
        <w:ind w:left="3970" w:hanging="360"/>
      </w:pPr>
      <w:rPr>
        <w:rFonts w:ascii="Courier New" w:eastAsia="Courier New" w:hAnsi="Courier New" w:cs="Courier New"/>
      </w:rPr>
    </w:lvl>
    <w:lvl w:ilvl="5">
      <w:start w:val="1"/>
      <w:numFmt w:val="bullet"/>
      <w:lvlText w:val="▪"/>
      <w:lvlJc w:val="left"/>
      <w:pPr>
        <w:ind w:left="4690" w:hanging="360"/>
      </w:pPr>
      <w:rPr>
        <w:rFonts w:ascii="Noto Sans Symbols" w:eastAsia="Noto Sans Symbols" w:hAnsi="Noto Sans Symbols" w:cs="Noto Sans Symbols"/>
      </w:rPr>
    </w:lvl>
    <w:lvl w:ilvl="6">
      <w:start w:val="1"/>
      <w:numFmt w:val="bullet"/>
      <w:lvlText w:val="●"/>
      <w:lvlJc w:val="left"/>
      <w:pPr>
        <w:ind w:left="5410" w:hanging="360"/>
      </w:pPr>
      <w:rPr>
        <w:rFonts w:ascii="Noto Sans Symbols" w:eastAsia="Noto Sans Symbols" w:hAnsi="Noto Sans Symbols" w:cs="Noto Sans Symbols"/>
      </w:rPr>
    </w:lvl>
    <w:lvl w:ilvl="7">
      <w:start w:val="1"/>
      <w:numFmt w:val="bullet"/>
      <w:lvlText w:val="o"/>
      <w:lvlJc w:val="left"/>
      <w:pPr>
        <w:ind w:left="6130" w:hanging="360"/>
      </w:pPr>
      <w:rPr>
        <w:rFonts w:ascii="Courier New" w:eastAsia="Courier New" w:hAnsi="Courier New" w:cs="Courier New"/>
      </w:rPr>
    </w:lvl>
    <w:lvl w:ilvl="8">
      <w:start w:val="1"/>
      <w:numFmt w:val="bullet"/>
      <w:lvlText w:val="▪"/>
      <w:lvlJc w:val="left"/>
      <w:pPr>
        <w:ind w:left="685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8A"/>
    <w:rsid w:val="002B4F1A"/>
    <w:rsid w:val="0069244F"/>
    <w:rsid w:val="006D318A"/>
    <w:rsid w:val="00994F33"/>
    <w:rsid w:val="00AE2C8F"/>
    <w:rsid w:val="00B44CD1"/>
    <w:rsid w:val="00D11C3A"/>
    <w:rsid w:val="00FC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9B705"/>
  <w15:docId w15:val="{CA227BC6-A0B5-4FFA-B67A-69540EAB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28"/>
      <w:szCs w:val="28"/>
      <w:u w:val="none"/>
      <w:shd w:val="clear" w:color="auto" w:fill="auto"/>
    </w:rPr>
  </w:style>
  <w:style w:type="character" w:customStyle="1" w:styleId="Bodytext3">
    <w:name w:val="Body text (3)_"/>
    <w:basedOn w:val="DefaultParagraphFont"/>
    <w:link w:val="Bodytext30"/>
    <w:rPr>
      <w:rFonts w:ascii="Tahoma" w:eastAsia="Tahoma" w:hAnsi="Tahoma" w:cs="Tahoma"/>
      <w:b/>
      <w:bCs/>
      <w:i w:val="0"/>
      <w:iCs w:val="0"/>
      <w:smallCaps w:val="0"/>
      <w:strike w:val="0"/>
      <w:color w:val="991840"/>
      <w:w w:val="80"/>
      <w:sz w:val="18"/>
      <w:szCs w:val="18"/>
      <w:u w:val="none"/>
      <w:shd w:val="clear" w:color="auto" w:fill="auto"/>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Times New Roman" w:eastAsia="Times New Roman" w:hAnsi="Times New Roman" w:cs="Times New Roman"/>
      <w:sz w:val="20"/>
      <w:szCs w:val="20"/>
    </w:rPr>
  </w:style>
  <w:style w:type="paragraph" w:customStyle="1" w:styleId="Tablecaption0">
    <w:name w:val="Table caption"/>
    <w:basedOn w:val="Normal"/>
    <w:link w:val="Tablecaption"/>
    <w:pPr>
      <w:spacing w:line="250" w:lineRule="auto"/>
      <w:ind w:firstLine="330"/>
    </w:pPr>
    <w:rPr>
      <w:rFonts w:ascii="Times New Roman" w:eastAsia="Times New Roman" w:hAnsi="Times New Roman" w:cs="Times New Roman"/>
      <w:sz w:val="26"/>
      <w:szCs w:val="26"/>
    </w:rPr>
  </w:style>
  <w:style w:type="paragraph" w:customStyle="1" w:styleId="Other0">
    <w:name w:val="Other"/>
    <w:basedOn w:val="Normal"/>
    <w:link w:val="Other"/>
    <w:pPr>
      <w:spacing w:line="264"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ind w:firstLine="760"/>
      <w:outlineLvl w:val="0"/>
    </w:pPr>
    <w:rPr>
      <w:rFonts w:ascii="Times New Roman" w:eastAsia="Times New Roman" w:hAnsi="Times New Roman" w:cs="Times New Roman"/>
      <w:smallCaps/>
      <w:sz w:val="28"/>
      <w:szCs w:val="28"/>
    </w:rPr>
  </w:style>
  <w:style w:type="paragraph" w:customStyle="1" w:styleId="Bodytext30">
    <w:name w:val="Body text (3)"/>
    <w:basedOn w:val="Normal"/>
    <w:link w:val="Bodytext3"/>
    <w:rPr>
      <w:rFonts w:ascii="Tahoma" w:eastAsia="Tahoma" w:hAnsi="Tahoma" w:cs="Tahoma"/>
      <w:b/>
      <w:bCs/>
      <w:color w:val="991840"/>
      <w:w w:val="8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WSa+8nCASqAIcmswSQ9Lakt2Tg==">CgMxLjA4AHIhMWlNZ3kteldqR3l3MVFmeVJYQjdTNEN3UVBtVFhpZzRt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2024-06-24T03:48:00Z</dcterms:created>
  <dcterms:modified xsi:type="dcterms:W3CDTF">2024-06-25T03:14:00Z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23cebf9a565bdfd0b53796670b13a2f3e8e8f158253bcd775eefa23612f292a9</vt:lpwstr>
  </property>
</Properties>
</file>