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38AE" w14:textId="77777777" w:rsidR="00A02D07" w:rsidRPr="009E201A" w:rsidRDefault="00AB77C2" w:rsidP="00EA55ED">
      <w:pPr>
        <w:pBdr>
          <w:top w:val="nil"/>
          <w:left w:val="nil"/>
          <w:bottom w:val="nil"/>
          <w:right w:val="nil"/>
          <w:between w:val="nil"/>
        </w:pBdr>
        <w:tabs>
          <w:tab w:val="left" w:pos="432"/>
          <w:tab w:val="left" w:pos="5482"/>
        </w:tabs>
        <w:spacing w:after="120" w:line="360" w:lineRule="auto"/>
        <w:rPr>
          <w:rFonts w:ascii="Arial" w:eastAsia="Arial" w:hAnsi="Arial" w:cs="Arial"/>
          <w:b/>
          <w:color w:val="010000"/>
          <w:sz w:val="20"/>
          <w:szCs w:val="20"/>
        </w:rPr>
      </w:pPr>
      <w:bookmarkStart w:id="0" w:name="_GoBack"/>
      <w:bookmarkEnd w:id="0"/>
      <w:r w:rsidRPr="009E201A">
        <w:rPr>
          <w:rFonts w:ascii="Arial" w:hAnsi="Arial" w:cs="Arial"/>
          <w:b/>
          <w:color w:val="010000"/>
          <w:sz w:val="20"/>
        </w:rPr>
        <w:t>NTC: Annual General Mandate 2024</w:t>
      </w:r>
    </w:p>
    <w:p w14:paraId="00AE45A7" w14:textId="1883D5DC" w:rsidR="00A02D07" w:rsidRPr="009E201A" w:rsidRDefault="00AB77C2" w:rsidP="00EA55ED">
      <w:pPr>
        <w:pBdr>
          <w:top w:val="nil"/>
          <w:left w:val="nil"/>
          <w:bottom w:val="nil"/>
          <w:right w:val="nil"/>
          <w:between w:val="nil"/>
        </w:pBdr>
        <w:tabs>
          <w:tab w:val="left" w:pos="432"/>
          <w:tab w:val="left" w:pos="548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On June 19, 2024, Nam Tan Uyen Joint Stock Corporation announced General Mandate </w:t>
      </w:r>
      <w:r w:rsidR="00E6390D" w:rsidRPr="009E201A">
        <w:rPr>
          <w:rFonts w:ascii="Arial" w:hAnsi="Arial" w:cs="Arial"/>
          <w:color w:val="010000"/>
          <w:sz w:val="20"/>
        </w:rPr>
        <w:t xml:space="preserve">No. </w:t>
      </w:r>
      <w:r w:rsidRPr="009E201A">
        <w:rPr>
          <w:rFonts w:ascii="Arial" w:hAnsi="Arial" w:cs="Arial"/>
          <w:color w:val="010000"/>
          <w:sz w:val="20"/>
        </w:rPr>
        <w:t xml:space="preserve">02/NQ-DHDCD-NTC as follows: </w:t>
      </w:r>
    </w:p>
    <w:p w14:paraId="38B2D45C" w14:textId="77777777"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1. Approve the Reports submitted to the Meeting, including:</w:t>
      </w:r>
    </w:p>
    <w:p w14:paraId="3F89AC35" w14:textId="14ACE149" w:rsidR="00A02D07" w:rsidRPr="009E201A" w:rsidRDefault="00AB77C2" w:rsidP="00EA55ED">
      <w:pPr>
        <w:numPr>
          <w:ilvl w:val="0"/>
          <w:numId w:val="4"/>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9E201A">
        <w:rPr>
          <w:rFonts w:ascii="Arial" w:hAnsi="Arial" w:cs="Arial"/>
          <w:color w:val="010000"/>
          <w:sz w:val="20"/>
        </w:rPr>
        <w:t>The Report on activities</w:t>
      </w:r>
      <w:r w:rsidR="003B5457" w:rsidRPr="009E201A">
        <w:rPr>
          <w:rFonts w:ascii="Arial" w:hAnsi="Arial" w:cs="Arial"/>
          <w:color w:val="010000"/>
          <w:sz w:val="20"/>
        </w:rPr>
        <w:t xml:space="preserve"> results</w:t>
      </w:r>
      <w:r w:rsidRPr="009E201A">
        <w:rPr>
          <w:rFonts w:ascii="Arial" w:hAnsi="Arial" w:cs="Arial"/>
          <w:color w:val="010000"/>
          <w:sz w:val="20"/>
        </w:rPr>
        <w:t xml:space="preserve"> in 2023 and the orientation for 2024 of the Board of Directors and the Report of independent members of the Board of Directors on the Company’s activities in 2023;</w:t>
      </w:r>
    </w:p>
    <w:p w14:paraId="1FA049F1" w14:textId="2F8A3D2E" w:rsidR="00A02D07" w:rsidRPr="009E201A" w:rsidRDefault="00AB77C2" w:rsidP="00EA55ED">
      <w:pPr>
        <w:numPr>
          <w:ilvl w:val="0"/>
          <w:numId w:val="4"/>
        </w:numPr>
        <w:pBdr>
          <w:top w:val="nil"/>
          <w:left w:val="nil"/>
          <w:bottom w:val="nil"/>
          <w:right w:val="nil"/>
          <w:between w:val="nil"/>
        </w:pBdr>
        <w:tabs>
          <w:tab w:val="left" w:pos="432"/>
          <w:tab w:val="left" w:pos="567"/>
          <w:tab w:val="left" w:pos="1102"/>
        </w:tabs>
        <w:spacing w:after="120" w:line="360" w:lineRule="auto"/>
        <w:rPr>
          <w:rFonts w:ascii="Arial" w:eastAsia="Arial" w:hAnsi="Arial" w:cs="Arial"/>
          <w:color w:val="010000"/>
          <w:sz w:val="20"/>
          <w:szCs w:val="20"/>
        </w:rPr>
      </w:pPr>
      <w:r w:rsidRPr="009E201A">
        <w:rPr>
          <w:rFonts w:ascii="Arial" w:hAnsi="Arial" w:cs="Arial"/>
          <w:color w:val="010000"/>
          <w:sz w:val="20"/>
        </w:rPr>
        <w:t>The Report on activities</w:t>
      </w:r>
      <w:r w:rsidR="003B5457" w:rsidRPr="009E201A">
        <w:rPr>
          <w:rFonts w:ascii="Arial" w:hAnsi="Arial" w:cs="Arial"/>
          <w:color w:val="010000"/>
          <w:sz w:val="20"/>
        </w:rPr>
        <w:t xml:space="preserve"> results</w:t>
      </w:r>
      <w:r w:rsidRPr="009E201A">
        <w:rPr>
          <w:rFonts w:ascii="Arial" w:hAnsi="Arial" w:cs="Arial"/>
          <w:color w:val="010000"/>
          <w:sz w:val="20"/>
        </w:rPr>
        <w:t xml:space="preserve"> in 2023 and the operati</w:t>
      </w:r>
      <w:r w:rsidR="003B5457" w:rsidRPr="009E201A">
        <w:rPr>
          <w:rFonts w:ascii="Arial" w:hAnsi="Arial" w:cs="Arial"/>
          <w:color w:val="010000"/>
          <w:sz w:val="20"/>
        </w:rPr>
        <w:t>ng orientation</w:t>
      </w:r>
      <w:r w:rsidRPr="009E201A">
        <w:rPr>
          <w:rFonts w:ascii="Arial" w:hAnsi="Arial" w:cs="Arial"/>
          <w:color w:val="010000"/>
          <w:sz w:val="20"/>
        </w:rPr>
        <w:t xml:space="preserve"> for 2024 of the Supervisory Board; </w:t>
      </w:r>
    </w:p>
    <w:p w14:paraId="63417079" w14:textId="77777777" w:rsidR="00A02D07" w:rsidRPr="009E201A" w:rsidRDefault="00AB77C2" w:rsidP="00EA55ED">
      <w:pPr>
        <w:numPr>
          <w:ilvl w:val="0"/>
          <w:numId w:val="4"/>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9E201A">
        <w:rPr>
          <w:rFonts w:ascii="Arial" w:hAnsi="Arial" w:cs="Arial"/>
          <w:color w:val="010000"/>
          <w:sz w:val="20"/>
        </w:rPr>
        <w:t>The Financial Statements 2023 audited by AASC Auditing Firm Company Limited.</w:t>
      </w:r>
    </w:p>
    <w:p w14:paraId="6084CE90" w14:textId="77777777"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2. Approve the production and business results in 2023 with the following main contents:</w:t>
      </w:r>
    </w:p>
    <w:tbl>
      <w:tblPr>
        <w:tblStyle w:val="a"/>
        <w:tblW w:w="5000" w:type="pct"/>
        <w:tblBorders>
          <w:top w:val="nil"/>
          <w:left w:val="nil"/>
          <w:bottom w:val="nil"/>
          <w:right w:val="nil"/>
          <w:insideH w:val="nil"/>
          <w:insideV w:val="nil"/>
        </w:tblBorders>
        <w:tblLook w:val="0400" w:firstRow="0" w:lastRow="0" w:firstColumn="0" w:lastColumn="0" w:noHBand="0" w:noVBand="1"/>
      </w:tblPr>
      <w:tblGrid>
        <w:gridCol w:w="4513"/>
        <w:gridCol w:w="4514"/>
      </w:tblGrid>
      <w:tr w:rsidR="00A02D07" w:rsidRPr="009E201A" w14:paraId="027154AC" w14:textId="77777777" w:rsidTr="00EA55ED">
        <w:tc>
          <w:tcPr>
            <w:tcW w:w="2500" w:type="pct"/>
            <w:shd w:val="clear" w:color="auto" w:fill="auto"/>
            <w:vAlign w:val="center"/>
          </w:tcPr>
          <w:p w14:paraId="61F546C6"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Total revenue:</w:t>
            </w:r>
          </w:p>
        </w:tc>
        <w:tc>
          <w:tcPr>
            <w:tcW w:w="2500" w:type="pct"/>
            <w:shd w:val="clear" w:color="auto" w:fill="auto"/>
            <w:vAlign w:val="center"/>
          </w:tcPr>
          <w:p w14:paraId="19A8F951" w14:textId="77777777" w:rsidR="00A02D07" w:rsidRPr="009E201A" w:rsidRDefault="00AB77C2" w:rsidP="00EA55ED">
            <w:pPr>
              <w:pBdr>
                <w:top w:val="nil"/>
                <w:left w:val="nil"/>
                <w:bottom w:val="nil"/>
                <w:right w:val="nil"/>
                <w:between w:val="nil"/>
              </w:pBdr>
              <w:tabs>
                <w:tab w:val="left" w:pos="432"/>
                <w:tab w:val="left" w:pos="567"/>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VND482.12 billion</w:t>
            </w:r>
          </w:p>
        </w:tc>
      </w:tr>
      <w:tr w:rsidR="00A02D07" w:rsidRPr="009E201A" w14:paraId="4AF5EDD7" w14:textId="77777777" w:rsidTr="00EA55ED">
        <w:tc>
          <w:tcPr>
            <w:tcW w:w="2500" w:type="pct"/>
            <w:shd w:val="clear" w:color="auto" w:fill="auto"/>
            <w:vAlign w:val="center"/>
          </w:tcPr>
          <w:p w14:paraId="50C9FF75"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Total expenses:</w:t>
            </w:r>
          </w:p>
        </w:tc>
        <w:tc>
          <w:tcPr>
            <w:tcW w:w="2500" w:type="pct"/>
            <w:shd w:val="clear" w:color="auto" w:fill="auto"/>
            <w:vAlign w:val="center"/>
          </w:tcPr>
          <w:p w14:paraId="705A1574" w14:textId="77777777" w:rsidR="00A02D07" w:rsidRPr="009E201A" w:rsidRDefault="00AB77C2" w:rsidP="00EA55ED">
            <w:pPr>
              <w:pBdr>
                <w:top w:val="nil"/>
                <w:left w:val="nil"/>
                <w:bottom w:val="nil"/>
                <w:right w:val="nil"/>
                <w:between w:val="nil"/>
              </w:pBdr>
              <w:tabs>
                <w:tab w:val="left" w:pos="432"/>
                <w:tab w:val="left" w:pos="567"/>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VND135.68 billion</w:t>
            </w:r>
          </w:p>
        </w:tc>
      </w:tr>
      <w:tr w:rsidR="00A02D07" w:rsidRPr="009E201A" w14:paraId="2E922220" w14:textId="77777777" w:rsidTr="00EA55ED">
        <w:tc>
          <w:tcPr>
            <w:tcW w:w="2500" w:type="pct"/>
            <w:shd w:val="clear" w:color="auto" w:fill="auto"/>
            <w:vAlign w:val="center"/>
          </w:tcPr>
          <w:p w14:paraId="57B21DC2"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Profit before tax:</w:t>
            </w:r>
          </w:p>
        </w:tc>
        <w:tc>
          <w:tcPr>
            <w:tcW w:w="2500" w:type="pct"/>
            <w:shd w:val="clear" w:color="auto" w:fill="auto"/>
            <w:vAlign w:val="center"/>
          </w:tcPr>
          <w:p w14:paraId="672C6E58" w14:textId="40AB30B8" w:rsidR="00A02D07" w:rsidRPr="009E201A" w:rsidRDefault="00AB77C2" w:rsidP="00EA55ED">
            <w:pPr>
              <w:pBdr>
                <w:top w:val="nil"/>
                <w:left w:val="nil"/>
                <w:bottom w:val="nil"/>
                <w:right w:val="nil"/>
                <w:between w:val="nil"/>
              </w:pBdr>
              <w:tabs>
                <w:tab w:val="left" w:pos="432"/>
                <w:tab w:val="left" w:pos="567"/>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VND346.43 billion</w:t>
            </w:r>
          </w:p>
        </w:tc>
      </w:tr>
      <w:tr w:rsidR="00A02D07" w:rsidRPr="009E201A" w14:paraId="41056F83" w14:textId="77777777" w:rsidTr="00EA55ED">
        <w:tc>
          <w:tcPr>
            <w:tcW w:w="2500" w:type="pct"/>
            <w:shd w:val="clear" w:color="auto" w:fill="auto"/>
            <w:vAlign w:val="center"/>
          </w:tcPr>
          <w:p w14:paraId="3733FEA4"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Profit after tax:</w:t>
            </w:r>
          </w:p>
        </w:tc>
        <w:tc>
          <w:tcPr>
            <w:tcW w:w="2500" w:type="pct"/>
            <w:shd w:val="clear" w:color="auto" w:fill="auto"/>
            <w:vAlign w:val="center"/>
          </w:tcPr>
          <w:p w14:paraId="60BCAB53" w14:textId="6559CA1A" w:rsidR="00A02D07" w:rsidRPr="009E201A" w:rsidRDefault="00AB77C2" w:rsidP="00EA55ED">
            <w:pPr>
              <w:pBdr>
                <w:top w:val="nil"/>
                <w:left w:val="nil"/>
                <w:bottom w:val="nil"/>
                <w:right w:val="nil"/>
                <w:between w:val="nil"/>
              </w:pBdr>
              <w:tabs>
                <w:tab w:val="left" w:pos="432"/>
                <w:tab w:val="left" w:pos="567"/>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VND299.67 billion</w:t>
            </w:r>
          </w:p>
        </w:tc>
      </w:tr>
    </w:tbl>
    <w:p w14:paraId="0893BEB3" w14:textId="72E4C9AA"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‎‎Article 3. Approve the adjustment to increase accumulated profit after tax transferred from the previous year due to the adjustment in fund appropriation in 2022 as follows: </w:t>
      </w:r>
    </w:p>
    <w:tbl>
      <w:tblPr>
        <w:tblStyle w:val="a0"/>
        <w:tblW w:w="5000" w:type="pct"/>
        <w:tblBorders>
          <w:top w:val="nil"/>
          <w:left w:val="nil"/>
          <w:bottom w:val="nil"/>
          <w:right w:val="nil"/>
          <w:insideH w:val="nil"/>
          <w:insideV w:val="nil"/>
        </w:tblBorders>
        <w:tblLook w:val="0400" w:firstRow="0" w:lastRow="0" w:firstColumn="0" w:lastColumn="0" w:noHBand="0" w:noVBand="1"/>
      </w:tblPr>
      <w:tblGrid>
        <w:gridCol w:w="5813"/>
        <w:gridCol w:w="3214"/>
      </w:tblGrid>
      <w:tr w:rsidR="00A02D07" w:rsidRPr="009E201A" w14:paraId="1266692C" w14:textId="77777777" w:rsidTr="00EA55ED">
        <w:tc>
          <w:tcPr>
            <w:tcW w:w="3220" w:type="pct"/>
            <w:shd w:val="clear" w:color="auto" w:fill="auto"/>
            <w:vAlign w:val="center"/>
          </w:tcPr>
          <w:p w14:paraId="27077ECB" w14:textId="417C3F63"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Accumulated profit after tax transferred from the previous year </w:t>
            </w:r>
            <w:r w:rsidR="003B5457" w:rsidRPr="009E201A">
              <w:rPr>
                <w:rFonts w:ascii="Arial" w:hAnsi="Arial" w:cs="Arial"/>
                <w:color w:val="010000"/>
                <w:sz w:val="20"/>
              </w:rPr>
              <w:t>before</w:t>
            </w:r>
            <w:r w:rsidRPr="009E201A">
              <w:rPr>
                <w:rFonts w:ascii="Arial" w:hAnsi="Arial" w:cs="Arial"/>
                <w:color w:val="010000"/>
                <w:sz w:val="20"/>
              </w:rPr>
              <w:t xml:space="preserve"> the adjustment: </w:t>
            </w:r>
          </w:p>
        </w:tc>
        <w:tc>
          <w:tcPr>
            <w:tcW w:w="1780" w:type="pct"/>
            <w:shd w:val="clear" w:color="auto" w:fill="auto"/>
            <w:vAlign w:val="center"/>
          </w:tcPr>
          <w:p w14:paraId="6597FA33"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VND140,105,567,752</w:t>
            </w:r>
          </w:p>
        </w:tc>
      </w:tr>
      <w:tr w:rsidR="00A02D07" w:rsidRPr="009E201A" w14:paraId="0A1BF08E" w14:textId="77777777" w:rsidTr="00EA55ED">
        <w:tc>
          <w:tcPr>
            <w:tcW w:w="3220" w:type="pct"/>
            <w:shd w:val="clear" w:color="auto" w:fill="auto"/>
            <w:vAlign w:val="center"/>
          </w:tcPr>
          <w:p w14:paraId="7DDD6D03"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Accumulated profit after tax transferred from the previous year after the adjustment:</w:t>
            </w:r>
          </w:p>
        </w:tc>
        <w:tc>
          <w:tcPr>
            <w:tcW w:w="1780" w:type="pct"/>
            <w:shd w:val="clear" w:color="auto" w:fill="auto"/>
            <w:vAlign w:val="center"/>
          </w:tcPr>
          <w:p w14:paraId="32ABF67D"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VND143,660,780,826</w:t>
            </w:r>
          </w:p>
        </w:tc>
      </w:tr>
    </w:tbl>
    <w:p w14:paraId="6CE83493" w14:textId="77777777"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4. Approve the profit distribution plan in 2023 as follows:</w:t>
      </w:r>
    </w:p>
    <w:tbl>
      <w:tblPr>
        <w:tblStyle w:val="a1"/>
        <w:tblW w:w="5000" w:type="pct"/>
        <w:tblBorders>
          <w:top w:val="nil"/>
          <w:left w:val="nil"/>
          <w:bottom w:val="nil"/>
          <w:right w:val="nil"/>
          <w:insideH w:val="nil"/>
          <w:insideV w:val="nil"/>
        </w:tblBorders>
        <w:tblLook w:val="0400" w:firstRow="0" w:lastRow="0" w:firstColumn="0" w:lastColumn="0" w:noHBand="0" w:noVBand="1"/>
      </w:tblPr>
      <w:tblGrid>
        <w:gridCol w:w="5956"/>
        <w:gridCol w:w="3071"/>
      </w:tblGrid>
      <w:tr w:rsidR="00A02D07" w:rsidRPr="009E201A" w14:paraId="39693C89" w14:textId="77777777" w:rsidTr="00EA55ED">
        <w:tc>
          <w:tcPr>
            <w:tcW w:w="3299" w:type="pct"/>
            <w:shd w:val="clear" w:color="auto" w:fill="auto"/>
            <w:vAlign w:val="center"/>
          </w:tcPr>
          <w:p w14:paraId="2335E610"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Remaining profit transferred from the previous year: </w:t>
            </w:r>
          </w:p>
        </w:tc>
        <w:tc>
          <w:tcPr>
            <w:tcW w:w="1701" w:type="pct"/>
            <w:shd w:val="clear" w:color="auto" w:fill="auto"/>
            <w:vAlign w:val="center"/>
          </w:tcPr>
          <w:p w14:paraId="65C7B4A0"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VND143,660,780,826</w:t>
            </w:r>
          </w:p>
        </w:tc>
      </w:tr>
      <w:tr w:rsidR="00A02D07" w:rsidRPr="009E201A" w14:paraId="26B867CC" w14:textId="77777777" w:rsidTr="00EA55ED">
        <w:tc>
          <w:tcPr>
            <w:tcW w:w="3299" w:type="pct"/>
            <w:shd w:val="clear" w:color="auto" w:fill="auto"/>
            <w:vAlign w:val="center"/>
          </w:tcPr>
          <w:p w14:paraId="15442884"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Profit after tax in 2023:</w:t>
            </w:r>
          </w:p>
        </w:tc>
        <w:tc>
          <w:tcPr>
            <w:tcW w:w="1701" w:type="pct"/>
            <w:shd w:val="clear" w:color="auto" w:fill="auto"/>
            <w:vAlign w:val="center"/>
          </w:tcPr>
          <w:p w14:paraId="72D31423" w14:textId="77777777" w:rsidR="00A02D07" w:rsidRPr="009E201A" w:rsidRDefault="00AB77C2" w:rsidP="00EA55ED">
            <w:pPr>
              <w:pBdr>
                <w:top w:val="nil"/>
                <w:left w:val="nil"/>
                <w:bottom w:val="nil"/>
                <w:right w:val="nil"/>
                <w:between w:val="nil"/>
              </w:pBdr>
              <w:tabs>
                <w:tab w:val="left" w:pos="432"/>
                <w:tab w:val="left" w:pos="1077"/>
                <w:tab w:val="right" w:pos="8715"/>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VND299,669,833,741</w:t>
            </w:r>
          </w:p>
        </w:tc>
      </w:tr>
      <w:tr w:rsidR="00A02D07" w:rsidRPr="009E201A" w14:paraId="6E1D62AD" w14:textId="77777777" w:rsidTr="00EA55ED">
        <w:tc>
          <w:tcPr>
            <w:tcW w:w="3299" w:type="pct"/>
            <w:shd w:val="clear" w:color="auto" w:fill="auto"/>
            <w:vAlign w:val="center"/>
          </w:tcPr>
          <w:p w14:paraId="0B72B1F0"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Dividend payment (60%/charter capital):</w:t>
            </w:r>
          </w:p>
        </w:tc>
        <w:tc>
          <w:tcPr>
            <w:tcW w:w="1701" w:type="pct"/>
            <w:shd w:val="clear" w:color="auto" w:fill="auto"/>
            <w:vAlign w:val="center"/>
          </w:tcPr>
          <w:p w14:paraId="4A20F9D6" w14:textId="77777777" w:rsidR="00A02D07" w:rsidRPr="009E201A" w:rsidRDefault="00AB77C2" w:rsidP="00EA55ED">
            <w:pPr>
              <w:pBdr>
                <w:top w:val="nil"/>
                <w:left w:val="nil"/>
                <w:bottom w:val="nil"/>
                <w:right w:val="nil"/>
                <w:between w:val="nil"/>
              </w:pBdr>
              <w:tabs>
                <w:tab w:val="left" w:pos="432"/>
                <w:tab w:val="left" w:pos="1077"/>
                <w:tab w:val="right" w:pos="8715"/>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VND143,999,880,000</w:t>
            </w:r>
          </w:p>
        </w:tc>
      </w:tr>
      <w:tr w:rsidR="00A02D07" w:rsidRPr="009E201A" w14:paraId="63620C01" w14:textId="77777777" w:rsidTr="00EA55ED">
        <w:tc>
          <w:tcPr>
            <w:tcW w:w="3299" w:type="pct"/>
            <w:shd w:val="clear" w:color="auto" w:fill="auto"/>
            <w:vAlign w:val="center"/>
          </w:tcPr>
          <w:p w14:paraId="785F822D"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Appropriation for investment and development fund:</w:t>
            </w:r>
          </w:p>
        </w:tc>
        <w:tc>
          <w:tcPr>
            <w:tcW w:w="1701" w:type="pct"/>
            <w:shd w:val="clear" w:color="auto" w:fill="auto"/>
            <w:vAlign w:val="center"/>
          </w:tcPr>
          <w:p w14:paraId="0311F7F4" w14:textId="77777777" w:rsidR="00A02D07" w:rsidRPr="009E201A" w:rsidRDefault="00AB77C2" w:rsidP="00EA55ED">
            <w:pPr>
              <w:pBdr>
                <w:top w:val="nil"/>
                <w:left w:val="nil"/>
                <w:bottom w:val="nil"/>
                <w:right w:val="nil"/>
                <w:between w:val="nil"/>
              </w:pBdr>
              <w:tabs>
                <w:tab w:val="left" w:pos="432"/>
                <w:tab w:val="left" w:pos="1077"/>
                <w:tab w:val="right" w:pos="8715"/>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VND89,900,950,122</w:t>
            </w:r>
          </w:p>
        </w:tc>
      </w:tr>
      <w:tr w:rsidR="00A02D07" w:rsidRPr="009E201A" w14:paraId="3ED9025C" w14:textId="77777777" w:rsidTr="00EA55ED">
        <w:tc>
          <w:tcPr>
            <w:tcW w:w="3299" w:type="pct"/>
            <w:shd w:val="clear" w:color="auto" w:fill="auto"/>
            <w:vAlign w:val="center"/>
          </w:tcPr>
          <w:p w14:paraId="43735D54" w14:textId="5698907B"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Appropriation for bonus and welfare fund</w:t>
            </w:r>
            <w:r w:rsidR="003B5457" w:rsidRPr="009E201A">
              <w:rPr>
                <w:rFonts w:ascii="Arial" w:hAnsi="Arial" w:cs="Arial"/>
                <w:color w:val="010000"/>
                <w:sz w:val="20"/>
              </w:rPr>
              <w:t>s</w:t>
            </w:r>
            <w:r w:rsidRPr="009E201A">
              <w:rPr>
                <w:rFonts w:ascii="Arial" w:hAnsi="Arial" w:cs="Arial"/>
                <w:color w:val="010000"/>
                <w:sz w:val="20"/>
              </w:rPr>
              <w:t>:</w:t>
            </w:r>
          </w:p>
        </w:tc>
        <w:tc>
          <w:tcPr>
            <w:tcW w:w="1701" w:type="pct"/>
            <w:shd w:val="clear" w:color="auto" w:fill="auto"/>
            <w:vAlign w:val="center"/>
          </w:tcPr>
          <w:p w14:paraId="3BD03DA0" w14:textId="77777777" w:rsidR="00A02D07" w:rsidRPr="009E201A" w:rsidRDefault="00AB77C2" w:rsidP="00EA55ED">
            <w:pPr>
              <w:pBdr>
                <w:top w:val="nil"/>
                <w:left w:val="nil"/>
                <w:bottom w:val="nil"/>
                <w:right w:val="nil"/>
                <w:between w:val="nil"/>
              </w:pBdr>
              <w:tabs>
                <w:tab w:val="left" w:pos="432"/>
                <w:tab w:val="left" w:pos="1077"/>
                <w:tab w:val="right" w:pos="8715"/>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VND1,881,776,792</w:t>
            </w:r>
          </w:p>
        </w:tc>
      </w:tr>
      <w:tr w:rsidR="00A02D07" w:rsidRPr="009E201A" w14:paraId="1716B307" w14:textId="77777777" w:rsidTr="00EA55ED">
        <w:tc>
          <w:tcPr>
            <w:tcW w:w="3299" w:type="pct"/>
            <w:shd w:val="clear" w:color="auto" w:fill="auto"/>
            <w:vAlign w:val="center"/>
          </w:tcPr>
          <w:p w14:paraId="263C5818" w14:textId="3C5D8D7E"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Appropriation for bonus </w:t>
            </w:r>
            <w:r w:rsidR="00A015DF" w:rsidRPr="009E201A">
              <w:rPr>
                <w:rFonts w:ascii="Arial" w:hAnsi="Arial" w:cs="Arial"/>
                <w:color w:val="010000"/>
                <w:sz w:val="20"/>
              </w:rPr>
              <w:t>funds</w:t>
            </w:r>
            <w:r w:rsidRPr="009E201A">
              <w:rPr>
                <w:rFonts w:ascii="Arial" w:hAnsi="Arial" w:cs="Arial"/>
                <w:color w:val="010000"/>
                <w:sz w:val="20"/>
              </w:rPr>
              <w:t xml:space="preserve"> for the managers:</w:t>
            </w:r>
          </w:p>
        </w:tc>
        <w:tc>
          <w:tcPr>
            <w:tcW w:w="1701" w:type="pct"/>
            <w:shd w:val="clear" w:color="auto" w:fill="auto"/>
            <w:vAlign w:val="center"/>
          </w:tcPr>
          <w:p w14:paraId="740C4DEF" w14:textId="77777777" w:rsidR="00A02D07" w:rsidRPr="009E201A" w:rsidRDefault="00AB77C2" w:rsidP="00EA55ED">
            <w:pPr>
              <w:pBdr>
                <w:top w:val="nil"/>
                <w:left w:val="nil"/>
                <w:bottom w:val="nil"/>
                <w:right w:val="nil"/>
                <w:between w:val="nil"/>
              </w:pBdr>
              <w:tabs>
                <w:tab w:val="left" w:pos="432"/>
                <w:tab w:val="left" w:pos="1077"/>
                <w:tab w:val="center" w:pos="6094"/>
                <w:tab w:val="right" w:pos="8715"/>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VND95,148,477</w:t>
            </w:r>
          </w:p>
        </w:tc>
      </w:tr>
      <w:tr w:rsidR="00A02D07" w:rsidRPr="009E201A" w14:paraId="7AB5777C" w14:textId="77777777" w:rsidTr="00EA55ED">
        <w:tc>
          <w:tcPr>
            <w:tcW w:w="3299" w:type="pct"/>
            <w:shd w:val="clear" w:color="auto" w:fill="auto"/>
            <w:vAlign w:val="center"/>
          </w:tcPr>
          <w:p w14:paraId="5CDEC7EB"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Accumulated remaining profit transferred to the next year:</w:t>
            </w:r>
          </w:p>
        </w:tc>
        <w:tc>
          <w:tcPr>
            <w:tcW w:w="1701" w:type="pct"/>
            <w:shd w:val="clear" w:color="auto" w:fill="auto"/>
            <w:vAlign w:val="center"/>
          </w:tcPr>
          <w:p w14:paraId="69A85AEF" w14:textId="77777777" w:rsidR="00A02D07" w:rsidRPr="009E201A" w:rsidRDefault="00AB77C2" w:rsidP="00EA55ED">
            <w:pPr>
              <w:pBdr>
                <w:top w:val="nil"/>
                <w:left w:val="nil"/>
                <w:bottom w:val="nil"/>
                <w:right w:val="nil"/>
                <w:between w:val="nil"/>
              </w:pBdr>
              <w:tabs>
                <w:tab w:val="left" w:pos="432"/>
                <w:tab w:val="left" w:pos="1077"/>
                <w:tab w:val="center" w:pos="6094"/>
                <w:tab w:val="right" w:pos="8715"/>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VND207,452,859,176</w:t>
            </w:r>
          </w:p>
        </w:tc>
      </w:tr>
    </w:tbl>
    <w:p w14:paraId="1EB5C922" w14:textId="35EB9E85"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‎‎Article 5. Approve the production and business plan </w:t>
      </w:r>
      <w:r w:rsidR="003B5457" w:rsidRPr="009E201A">
        <w:rPr>
          <w:rFonts w:ascii="Arial" w:hAnsi="Arial" w:cs="Arial"/>
          <w:color w:val="010000"/>
          <w:sz w:val="20"/>
        </w:rPr>
        <w:t xml:space="preserve">for </w:t>
      </w:r>
      <w:r w:rsidRPr="009E201A">
        <w:rPr>
          <w:rFonts w:ascii="Arial" w:hAnsi="Arial" w:cs="Arial"/>
          <w:color w:val="010000"/>
          <w:sz w:val="20"/>
        </w:rPr>
        <w:t>2024 with the following targets:</w:t>
      </w:r>
    </w:p>
    <w:p w14:paraId="3EF1E535" w14:textId="660D0B9D" w:rsidR="00A02D07" w:rsidRPr="009E201A" w:rsidRDefault="00AB77C2" w:rsidP="00EA55ED">
      <w:pPr>
        <w:numPr>
          <w:ilvl w:val="0"/>
          <w:numId w:val="5"/>
        </w:numPr>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Production and business plan </w:t>
      </w:r>
      <w:r w:rsidR="003B5457" w:rsidRPr="009E201A">
        <w:rPr>
          <w:rFonts w:ascii="Arial" w:hAnsi="Arial" w:cs="Arial"/>
          <w:color w:val="010000"/>
          <w:sz w:val="20"/>
        </w:rPr>
        <w:t>for</w:t>
      </w:r>
      <w:r w:rsidRPr="009E201A">
        <w:rPr>
          <w:rFonts w:ascii="Arial" w:hAnsi="Arial" w:cs="Arial"/>
          <w:color w:val="010000"/>
          <w:sz w:val="20"/>
        </w:rPr>
        <w:t xml:space="preserve"> 2024</w:t>
      </w:r>
    </w:p>
    <w:tbl>
      <w:tblPr>
        <w:tblStyle w:val="a2"/>
        <w:tblW w:w="5000" w:type="pct"/>
        <w:tblLook w:val="0400" w:firstRow="0" w:lastRow="0" w:firstColumn="0" w:lastColumn="0" w:noHBand="0" w:noVBand="1"/>
      </w:tblPr>
      <w:tblGrid>
        <w:gridCol w:w="6523"/>
        <w:gridCol w:w="2504"/>
      </w:tblGrid>
      <w:tr w:rsidR="00A02D07" w:rsidRPr="009E201A" w14:paraId="0BDD26E6" w14:textId="77777777" w:rsidTr="00EA55ED">
        <w:tc>
          <w:tcPr>
            <w:tcW w:w="3613" w:type="pct"/>
            <w:shd w:val="clear" w:color="auto" w:fill="auto"/>
            <w:vAlign w:val="center"/>
          </w:tcPr>
          <w:p w14:paraId="60F30382"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Land sublease:</w:t>
            </w:r>
          </w:p>
        </w:tc>
        <w:tc>
          <w:tcPr>
            <w:tcW w:w="1387" w:type="pct"/>
            <w:shd w:val="clear" w:color="auto" w:fill="auto"/>
            <w:vAlign w:val="center"/>
          </w:tcPr>
          <w:p w14:paraId="65DA8996" w14:textId="77777777" w:rsidR="00A02D07" w:rsidRPr="009E201A" w:rsidRDefault="00AB77C2" w:rsidP="00EA55ED">
            <w:pPr>
              <w:pBdr>
                <w:top w:val="nil"/>
                <w:left w:val="nil"/>
                <w:bottom w:val="nil"/>
                <w:right w:val="nil"/>
                <w:between w:val="nil"/>
              </w:pBdr>
              <w:tabs>
                <w:tab w:val="left" w:pos="426"/>
                <w:tab w:val="left" w:pos="5925"/>
                <w:tab w:val="left" w:pos="8706"/>
              </w:tabs>
              <w:spacing w:after="120" w:line="360" w:lineRule="auto"/>
              <w:jc w:val="right"/>
              <w:rPr>
                <w:rFonts w:ascii="Arial" w:eastAsia="Arial" w:hAnsi="Arial" w:cs="Arial"/>
                <w:color w:val="010000"/>
                <w:sz w:val="20"/>
                <w:szCs w:val="20"/>
              </w:rPr>
            </w:pPr>
            <w:r w:rsidRPr="009E201A">
              <w:rPr>
                <w:rFonts w:ascii="Arial" w:hAnsi="Arial" w:cs="Arial"/>
                <w:color w:val="010000"/>
                <w:sz w:val="20"/>
              </w:rPr>
              <w:t>90 ha</w:t>
            </w:r>
          </w:p>
        </w:tc>
      </w:tr>
      <w:tr w:rsidR="00A02D07" w:rsidRPr="009E201A" w14:paraId="7F4CD6F5" w14:textId="77777777" w:rsidTr="00EA55ED">
        <w:tc>
          <w:tcPr>
            <w:tcW w:w="3613" w:type="pct"/>
            <w:shd w:val="clear" w:color="auto" w:fill="auto"/>
            <w:vAlign w:val="center"/>
          </w:tcPr>
          <w:p w14:paraId="3E29EC25" w14:textId="6C09E3FA"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lastRenderedPageBreak/>
              <w:t>Total revenue</w:t>
            </w:r>
            <w:r w:rsidR="00A015DF" w:rsidRPr="009E201A">
              <w:rPr>
                <w:rFonts w:ascii="Arial" w:hAnsi="Arial" w:cs="Arial"/>
                <w:color w:val="010000"/>
                <w:sz w:val="20"/>
              </w:rPr>
              <w:t>:</w:t>
            </w:r>
          </w:p>
        </w:tc>
        <w:tc>
          <w:tcPr>
            <w:tcW w:w="1387" w:type="pct"/>
            <w:shd w:val="clear" w:color="auto" w:fill="auto"/>
            <w:vAlign w:val="center"/>
          </w:tcPr>
          <w:p w14:paraId="69550FD2" w14:textId="77777777" w:rsidR="00A02D07" w:rsidRPr="009E201A" w:rsidRDefault="00AB77C2" w:rsidP="00EA55ED">
            <w:pPr>
              <w:pBdr>
                <w:top w:val="nil"/>
                <w:left w:val="nil"/>
                <w:bottom w:val="nil"/>
                <w:right w:val="nil"/>
                <w:between w:val="nil"/>
              </w:pBdr>
              <w:tabs>
                <w:tab w:val="left" w:pos="426"/>
                <w:tab w:val="right" w:pos="6069"/>
                <w:tab w:val="center" w:pos="8143"/>
                <w:tab w:val="center" w:pos="8603"/>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VND698.37 billion</w:t>
            </w:r>
          </w:p>
        </w:tc>
      </w:tr>
      <w:tr w:rsidR="00A02D07" w:rsidRPr="009E201A" w14:paraId="63D46D80" w14:textId="77777777" w:rsidTr="00EA55ED">
        <w:tc>
          <w:tcPr>
            <w:tcW w:w="3613" w:type="pct"/>
            <w:shd w:val="clear" w:color="auto" w:fill="auto"/>
            <w:vAlign w:val="center"/>
          </w:tcPr>
          <w:p w14:paraId="41DF75E1"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Total expenses:</w:t>
            </w:r>
          </w:p>
        </w:tc>
        <w:tc>
          <w:tcPr>
            <w:tcW w:w="1387" w:type="pct"/>
            <w:shd w:val="clear" w:color="auto" w:fill="auto"/>
            <w:vAlign w:val="center"/>
          </w:tcPr>
          <w:p w14:paraId="34BA22C3" w14:textId="77777777" w:rsidR="00A02D07" w:rsidRPr="009E201A" w:rsidRDefault="00AB77C2" w:rsidP="00EA55ED">
            <w:pPr>
              <w:pBdr>
                <w:top w:val="nil"/>
                <w:left w:val="nil"/>
                <w:bottom w:val="nil"/>
                <w:right w:val="nil"/>
                <w:between w:val="nil"/>
              </w:pBdr>
              <w:tabs>
                <w:tab w:val="left" w:pos="432"/>
                <w:tab w:val="right" w:pos="6069"/>
                <w:tab w:val="center" w:pos="8143"/>
                <w:tab w:val="center" w:pos="8608"/>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VND364.10 billion</w:t>
            </w:r>
          </w:p>
        </w:tc>
      </w:tr>
      <w:tr w:rsidR="00A02D07" w:rsidRPr="009E201A" w14:paraId="1DECBD3B" w14:textId="77777777" w:rsidTr="00EA55ED">
        <w:tc>
          <w:tcPr>
            <w:tcW w:w="3613" w:type="pct"/>
            <w:shd w:val="clear" w:color="auto" w:fill="auto"/>
            <w:vAlign w:val="center"/>
          </w:tcPr>
          <w:p w14:paraId="6779BF75"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Profit before tax:</w:t>
            </w:r>
          </w:p>
        </w:tc>
        <w:tc>
          <w:tcPr>
            <w:tcW w:w="1387" w:type="pct"/>
            <w:shd w:val="clear" w:color="auto" w:fill="auto"/>
            <w:vAlign w:val="center"/>
          </w:tcPr>
          <w:p w14:paraId="44B2E44A" w14:textId="6EB1A73E" w:rsidR="00A02D07" w:rsidRPr="009E201A" w:rsidRDefault="00AB77C2" w:rsidP="00EA55ED">
            <w:pPr>
              <w:pBdr>
                <w:top w:val="nil"/>
                <w:left w:val="nil"/>
                <w:bottom w:val="nil"/>
                <w:right w:val="nil"/>
                <w:between w:val="nil"/>
              </w:pBdr>
              <w:tabs>
                <w:tab w:val="left" w:pos="432"/>
                <w:tab w:val="left" w:pos="1077"/>
                <w:tab w:val="left" w:pos="5925"/>
                <w:tab w:val="left" w:pos="765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VND334</w:t>
            </w:r>
            <w:r w:rsidR="009E201A" w:rsidRPr="009E201A">
              <w:rPr>
                <w:rFonts w:ascii="Arial" w:hAnsi="Arial" w:cs="Arial"/>
                <w:color w:val="010000"/>
                <w:sz w:val="20"/>
              </w:rPr>
              <w:t>.</w:t>
            </w:r>
            <w:r w:rsidRPr="009E201A">
              <w:rPr>
                <w:rFonts w:ascii="Arial" w:hAnsi="Arial" w:cs="Arial"/>
                <w:color w:val="010000"/>
                <w:sz w:val="20"/>
              </w:rPr>
              <w:t>27 billion</w:t>
            </w:r>
          </w:p>
        </w:tc>
      </w:tr>
      <w:tr w:rsidR="00A02D07" w:rsidRPr="009E201A" w14:paraId="6C2946EF" w14:textId="77777777" w:rsidTr="00EA55ED">
        <w:tc>
          <w:tcPr>
            <w:tcW w:w="3613" w:type="pct"/>
            <w:shd w:val="clear" w:color="auto" w:fill="auto"/>
            <w:vAlign w:val="center"/>
          </w:tcPr>
          <w:p w14:paraId="1E244BD0"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Profit after tax:</w:t>
            </w:r>
          </w:p>
        </w:tc>
        <w:tc>
          <w:tcPr>
            <w:tcW w:w="1387" w:type="pct"/>
            <w:shd w:val="clear" w:color="auto" w:fill="auto"/>
            <w:vAlign w:val="center"/>
          </w:tcPr>
          <w:p w14:paraId="717D3A0F" w14:textId="77777777" w:rsidR="00A02D07" w:rsidRPr="009E201A" w:rsidRDefault="00AB77C2" w:rsidP="00EA55ED">
            <w:pPr>
              <w:pBdr>
                <w:top w:val="nil"/>
                <w:left w:val="nil"/>
                <w:bottom w:val="nil"/>
                <w:right w:val="nil"/>
                <w:between w:val="nil"/>
              </w:pBdr>
              <w:tabs>
                <w:tab w:val="left" w:pos="432"/>
                <w:tab w:val="left" w:pos="1077"/>
                <w:tab w:val="left" w:pos="5355"/>
                <w:tab w:val="right" w:pos="6069"/>
                <w:tab w:val="center" w:pos="8143"/>
                <w:tab w:val="center" w:pos="8608"/>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VND278.16 billion</w:t>
            </w:r>
          </w:p>
        </w:tc>
      </w:tr>
      <w:tr w:rsidR="00A02D07" w:rsidRPr="009E201A" w14:paraId="03CD5EBE" w14:textId="77777777" w:rsidTr="00EA55ED">
        <w:tc>
          <w:tcPr>
            <w:tcW w:w="3613" w:type="pct"/>
            <w:shd w:val="clear" w:color="auto" w:fill="auto"/>
            <w:vAlign w:val="center"/>
          </w:tcPr>
          <w:p w14:paraId="069337D6" w14:textId="77777777" w:rsidR="00A02D07" w:rsidRPr="009E201A" w:rsidRDefault="00AB77C2" w:rsidP="00EA55ED">
            <w:pPr>
              <w:numPr>
                <w:ilvl w:val="0"/>
                <w:numId w:val="5"/>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Capital construction and investment plan in 2024:</w:t>
            </w:r>
          </w:p>
        </w:tc>
        <w:tc>
          <w:tcPr>
            <w:tcW w:w="1387" w:type="pct"/>
            <w:shd w:val="clear" w:color="auto" w:fill="auto"/>
            <w:vAlign w:val="center"/>
          </w:tcPr>
          <w:p w14:paraId="58D1CDB4" w14:textId="77777777" w:rsidR="00A02D07" w:rsidRPr="009E201A" w:rsidRDefault="00AB77C2" w:rsidP="00EA55ED">
            <w:pPr>
              <w:pBdr>
                <w:top w:val="nil"/>
                <w:left w:val="nil"/>
                <w:bottom w:val="nil"/>
                <w:right w:val="nil"/>
                <w:between w:val="nil"/>
              </w:pBdr>
              <w:tabs>
                <w:tab w:val="left" w:pos="432"/>
                <w:tab w:val="left" w:pos="1077"/>
                <w:tab w:val="left" w:pos="5355"/>
                <w:tab w:val="right" w:pos="6069"/>
                <w:tab w:val="center" w:pos="8143"/>
                <w:tab w:val="center" w:pos="8608"/>
                <w:tab w:val="right" w:pos="9294"/>
              </w:tabs>
              <w:spacing w:after="120" w:line="360" w:lineRule="auto"/>
              <w:jc w:val="right"/>
              <w:rPr>
                <w:rFonts w:ascii="Arial" w:eastAsia="Arial" w:hAnsi="Arial" w:cs="Arial"/>
                <w:color w:val="010000"/>
                <w:sz w:val="20"/>
                <w:szCs w:val="20"/>
              </w:rPr>
            </w:pPr>
            <w:r w:rsidRPr="009E201A">
              <w:rPr>
                <w:rFonts w:ascii="Arial" w:hAnsi="Arial" w:cs="Arial"/>
                <w:color w:val="010000"/>
                <w:sz w:val="20"/>
              </w:rPr>
              <w:t xml:space="preserve"> VND427.63 billion</w:t>
            </w:r>
          </w:p>
        </w:tc>
      </w:tr>
    </w:tbl>
    <w:p w14:paraId="78B84529" w14:textId="527BD96B"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The General Meeting of Shareholders </w:t>
      </w:r>
      <w:r w:rsidR="00E72A7E" w:rsidRPr="009E201A">
        <w:rPr>
          <w:rFonts w:ascii="Arial" w:hAnsi="Arial" w:cs="Arial"/>
          <w:color w:val="010000"/>
          <w:sz w:val="20"/>
        </w:rPr>
        <w:t>approved</w:t>
      </w:r>
      <w:r w:rsidRPr="009E201A">
        <w:rPr>
          <w:rFonts w:ascii="Arial" w:hAnsi="Arial" w:cs="Arial"/>
          <w:color w:val="010000"/>
          <w:sz w:val="20"/>
        </w:rPr>
        <w:t xml:space="preserve"> authorizing the Board of Directors to consider and adjust the plan’s targets in 2024 in accordance with the actual situation during the implementation.</w:t>
      </w:r>
    </w:p>
    <w:p w14:paraId="50422131" w14:textId="4D887FE0"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6. Approve the plan on profit distribution in 2024 as follows:</w:t>
      </w:r>
    </w:p>
    <w:p w14:paraId="140032D7" w14:textId="5287D2BC" w:rsidR="00A02D07" w:rsidRPr="009E201A" w:rsidRDefault="00AB77C2" w:rsidP="00EA55ED">
      <w:pPr>
        <w:numPr>
          <w:ilvl w:val="0"/>
          <w:numId w:val="2"/>
        </w:numPr>
        <w:pBdr>
          <w:top w:val="nil"/>
          <w:left w:val="nil"/>
          <w:bottom w:val="nil"/>
          <w:right w:val="nil"/>
          <w:between w:val="nil"/>
        </w:pBdr>
        <w:tabs>
          <w:tab w:val="left" w:pos="432"/>
          <w:tab w:val="left" w:pos="5925"/>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Dividend payment (</w:t>
      </w:r>
      <w:r w:rsidR="00E72A7E" w:rsidRPr="009E201A">
        <w:rPr>
          <w:rFonts w:ascii="Arial" w:hAnsi="Arial" w:cs="Arial"/>
          <w:color w:val="010000"/>
          <w:sz w:val="20"/>
        </w:rPr>
        <w:t xml:space="preserve">minimum </w:t>
      </w:r>
      <w:r w:rsidRPr="009E201A">
        <w:rPr>
          <w:rFonts w:ascii="Arial" w:hAnsi="Arial" w:cs="Arial"/>
          <w:color w:val="010000"/>
          <w:sz w:val="20"/>
        </w:rPr>
        <w:t xml:space="preserve">60%/charter capital): </w:t>
      </w:r>
      <w:r w:rsidR="00E72A7E" w:rsidRPr="009E201A">
        <w:rPr>
          <w:rFonts w:ascii="Arial" w:hAnsi="Arial" w:cs="Arial"/>
          <w:color w:val="010000"/>
          <w:sz w:val="20"/>
        </w:rPr>
        <w:t xml:space="preserve">Minimum </w:t>
      </w:r>
      <w:r w:rsidRPr="009E201A">
        <w:rPr>
          <w:rFonts w:ascii="Arial" w:hAnsi="Arial" w:cs="Arial"/>
          <w:color w:val="010000"/>
          <w:sz w:val="20"/>
        </w:rPr>
        <w:t>VND143,999,880,000.</w:t>
      </w:r>
    </w:p>
    <w:p w14:paraId="66AB1401" w14:textId="56B31DA7" w:rsidR="00A02D07" w:rsidRPr="009E201A" w:rsidRDefault="00A015DF"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Based on</w:t>
      </w:r>
      <w:r w:rsidR="00AB77C2" w:rsidRPr="009E201A">
        <w:rPr>
          <w:rFonts w:ascii="Arial" w:hAnsi="Arial" w:cs="Arial"/>
          <w:color w:val="010000"/>
          <w:sz w:val="20"/>
        </w:rPr>
        <w:t xml:space="preserve"> the realized profit results in 2024, the Board of Directors will submit the plan on profit distribution in 2024 </w:t>
      </w:r>
      <w:r w:rsidR="00E72A7E" w:rsidRPr="009E201A">
        <w:rPr>
          <w:rFonts w:ascii="Arial" w:hAnsi="Arial" w:cs="Arial"/>
          <w:color w:val="010000"/>
          <w:sz w:val="20"/>
        </w:rPr>
        <w:t>in</w:t>
      </w:r>
      <w:r w:rsidR="00AB77C2" w:rsidRPr="009E201A">
        <w:rPr>
          <w:rFonts w:ascii="Arial" w:hAnsi="Arial" w:cs="Arial"/>
          <w:color w:val="010000"/>
          <w:sz w:val="20"/>
        </w:rPr>
        <w:t xml:space="preserve"> the Annual General Meeting of Shareholders 2025.</w:t>
      </w:r>
    </w:p>
    <w:p w14:paraId="4C2B6984" w14:textId="65D60757"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7. Approve the remuneration for the Board of Directors and the Supervisory Board in 2023 and the plan for 2024 as follows:</w:t>
      </w:r>
    </w:p>
    <w:p w14:paraId="387BD029" w14:textId="77777777" w:rsidR="00A02D07" w:rsidRPr="009E201A" w:rsidRDefault="00AB77C2" w:rsidP="00EA55ED">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9E201A">
        <w:rPr>
          <w:rFonts w:ascii="Arial" w:hAnsi="Arial" w:cs="Arial"/>
          <w:color w:val="010000"/>
          <w:sz w:val="20"/>
        </w:rPr>
        <w:t>Results 2023</w:t>
      </w:r>
    </w:p>
    <w:tbl>
      <w:tblPr>
        <w:tblStyle w:val="a3"/>
        <w:tblW w:w="5000" w:type="pct"/>
        <w:tblLook w:val="0400" w:firstRow="0" w:lastRow="0" w:firstColumn="0" w:lastColumn="0" w:noHBand="0" w:noVBand="1"/>
      </w:tblPr>
      <w:tblGrid>
        <w:gridCol w:w="5490"/>
        <w:gridCol w:w="3537"/>
      </w:tblGrid>
      <w:tr w:rsidR="00A02D07" w:rsidRPr="009E201A" w14:paraId="1D7ADEEA" w14:textId="77777777" w:rsidTr="00EA55ED">
        <w:tc>
          <w:tcPr>
            <w:tcW w:w="3041" w:type="pct"/>
            <w:shd w:val="clear" w:color="auto" w:fill="auto"/>
            <w:vAlign w:val="center"/>
          </w:tcPr>
          <w:p w14:paraId="00ED7B42" w14:textId="59D2B50E" w:rsidR="00A02D07" w:rsidRPr="009E201A" w:rsidRDefault="00E72A7E"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The Board of Directors and the Secretariat:</w:t>
            </w:r>
          </w:p>
        </w:tc>
        <w:tc>
          <w:tcPr>
            <w:tcW w:w="1959" w:type="pct"/>
            <w:shd w:val="clear" w:color="auto" w:fill="auto"/>
            <w:vAlign w:val="center"/>
          </w:tcPr>
          <w:p w14:paraId="319E3598"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VND276,000,000</w:t>
            </w:r>
          </w:p>
        </w:tc>
      </w:tr>
      <w:tr w:rsidR="00A02D07" w:rsidRPr="009E201A" w14:paraId="053FB399" w14:textId="77777777" w:rsidTr="00EA55ED">
        <w:tc>
          <w:tcPr>
            <w:tcW w:w="3041" w:type="pct"/>
            <w:shd w:val="clear" w:color="auto" w:fill="auto"/>
            <w:vAlign w:val="center"/>
          </w:tcPr>
          <w:p w14:paraId="0DC67C0F" w14:textId="534F50C6" w:rsidR="00A02D07" w:rsidRPr="009E201A" w:rsidRDefault="00E72A7E"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The non-executive Supervisory Board:</w:t>
            </w:r>
          </w:p>
        </w:tc>
        <w:tc>
          <w:tcPr>
            <w:tcW w:w="1959" w:type="pct"/>
            <w:shd w:val="clear" w:color="auto" w:fill="auto"/>
            <w:vAlign w:val="center"/>
          </w:tcPr>
          <w:p w14:paraId="1291FA65"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VND96,000,000</w:t>
            </w:r>
          </w:p>
        </w:tc>
      </w:tr>
      <w:tr w:rsidR="00A02D07" w:rsidRPr="009E201A" w14:paraId="0233E367" w14:textId="77777777" w:rsidTr="00EA55ED">
        <w:tc>
          <w:tcPr>
            <w:tcW w:w="3041" w:type="pct"/>
            <w:shd w:val="clear" w:color="auto" w:fill="auto"/>
            <w:vAlign w:val="center"/>
          </w:tcPr>
          <w:p w14:paraId="77D9A791" w14:textId="5C47EEF1" w:rsidR="00A02D07" w:rsidRPr="009E201A" w:rsidRDefault="00AB77C2" w:rsidP="00EA55ED">
            <w:pPr>
              <w:numPr>
                <w:ilvl w:val="0"/>
                <w:numId w:val="6"/>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9E201A">
              <w:rPr>
                <w:rFonts w:ascii="Arial" w:hAnsi="Arial" w:cs="Arial"/>
                <w:color w:val="010000"/>
                <w:sz w:val="20"/>
              </w:rPr>
              <w:t>Plan 2024</w:t>
            </w:r>
          </w:p>
        </w:tc>
        <w:tc>
          <w:tcPr>
            <w:tcW w:w="1959" w:type="pct"/>
            <w:shd w:val="clear" w:color="auto" w:fill="auto"/>
            <w:vAlign w:val="center"/>
          </w:tcPr>
          <w:p w14:paraId="73FE69F5" w14:textId="77777777" w:rsidR="00A02D07" w:rsidRPr="009E201A" w:rsidRDefault="00A02D07" w:rsidP="00EA55ED">
            <w:pPr>
              <w:pBdr>
                <w:top w:val="nil"/>
                <w:left w:val="nil"/>
                <w:bottom w:val="nil"/>
                <w:right w:val="nil"/>
                <w:between w:val="nil"/>
              </w:pBdr>
              <w:tabs>
                <w:tab w:val="left" w:pos="432"/>
                <w:tab w:val="left" w:pos="1158"/>
              </w:tabs>
              <w:spacing w:after="120" w:line="360" w:lineRule="auto"/>
              <w:jc w:val="right"/>
              <w:rPr>
                <w:rFonts w:ascii="Arial" w:eastAsia="Arial" w:hAnsi="Arial" w:cs="Arial"/>
                <w:color w:val="010000"/>
                <w:sz w:val="20"/>
                <w:szCs w:val="20"/>
              </w:rPr>
            </w:pPr>
          </w:p>
        </w:tc>
      </w:tr>
      <w:tr w:rsidR="00A02D07" w:rsidRPr="009E201A" w14:paraId="0BCD84FF" w14:textId="77777777" w:rsidTr="00EA55ED">
        <w:tc>
          <w:tcPr>
            <w:tcW w:w="3041" w:type="pct"/>
            <w:shd w:val="clear" w:color="auto" w:fill="auto"/>
            <w:vAlign w:val="center"/>
          </w:tcPr>
          <w:p w14:paraId="1BA7A297" w14:textId="77777777"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Members of the Board of Directors.</w:t>
            </w:r>
          </w:p>
        </w:tc>
        <w:tc>
          <w:tcPr>
            <w:tcW w:w="1959" w:type="pct"/>
            <w:shd w:val="clear" w:color="auto" w:fill="auto"/>
            <w:vAlign w:val="center"/>
          </w:tcPr>
          <w:p w14:paraId="091528DE"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VND5,000,000/month</w:t>
            </w:r>
          </w:p>
        </w:tc>
      </w:tr>
      <w:tr w:rsidR="00A02D07" w:rsidRPr="009E201A" w14:paraId="0E0A1969" w14:textId="77777777" w:rsidTr="00EA55ED">
        <w:tc>
          <w:tcPr>
            <w:tcW w:w="3041" w:type="pct"/>
            <w:shd w:val="clear" w:color="auto" w:fill="auto"/>
            <w:vAlign w:val="center"/>
          </w:tcPr>
          <w:p w14:paraId="6673F4E3" w14:textId="24DA8E81" w:rsidR="00A02D07" w:rsidRPr="009E201A" w:rsidRDefault="00AB77C2" w:rsidP="00EA55ED">
            <w:pPr>
              <w:numPr>
                <w:ilvl w:val="0"/>
                <w:numId w:val="4"/>
              </w:numPr>
              <w:pBdr>
                <w:top w:val="nil"/>
                <w:left w:val="nil"/>
                <w:bottom w:val="nil"/>
                <w:right w:val="nil"/>
                <w:between w:val="nil"/>
              </w:pBdr>
              <w:tabs>
                <w:tab w:val="left" w:pos="426"/>
                <w:tab w:val="left" w:pos="5925"/>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Non-executive members </w:t>
            </w:r>
            <w:r w:rsidR="00E72A7E" w:rsidRPr="009E201A">
              <w:rPr>
                <w:rFonts w:ascii="Arial" w:hAnsi="Arial" w:cs="Arial"/>
                <w:color w:val="010000"/>
                <w:sz w:val="20"/>
              </w:rPr>
              <w:t xml:space="preserve">of </w:t>
            </w:r>
            <w:r w:rsidRPr="009E201A">
              <w:rPr>
                <w:rFonts w:ascii="Arial" w:hAnsi="Arial" w:cs="Arial"/>
                <w:color w:val="010000"/>
                <w:sz w:val="20"/>
              </w:rPr>
              <w:t>the Supervisory Board:</w:t>
            </w:r>
          </w:p>
        </w:tc>
        <w:tc>
          <w:tcPr>
            <w:tcW w:w="1959" w:type="pct"/>
            <w:shd w:val="clear" w:color="auto" w:fill="auto"/>
            <w:vAlign w:val="center"/>
          </w:tcPr>
          <w:p w14:paraId="0986A8E5" w14:textId="77777777" w:rsidR="00A02D07" w:rsidRPr="009E201A" w:rsidRDefault="00AB77C2" w:rsidP="00EA55ED">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9E201A">
              <w:rPr>
                <w:rFonts w:ascii="Arial" w:hAnsi="Arial" w:cs="Arial"/>
                <w:color w:val="010000"/>
                <w:sz w:val="20"/>
              </w:rPr>
              <w:t>VND4,000,000/month</w:t>
            </w:r>
          </w:p>
        </w:tc>
      </w:tr>
    </w:tbl>
    <w:p w14:paraId="347D77CF" w14:textId="080FD4C5"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Article 8. </w:t>
      </w:r>
      <w:r w:rsidR="00E72A7E" w:rsidRPr="009E201A">
        <w:rPr>
          <w:rFonts w:ascii="Arial" w:hAnsi="Arial" w:cs="Arial"/>
          <w:color w:val="010000"/>
          <w:sz w:val="20"/>
        </w:rPr>
        <w:t>Approve</w:t>
      </w:r>
      <w:r w:rsidRPr="009E201A">
        <w:rPr>
          <w:rFonts w:ascii="Arial" w:hAnsi="Arial" w:cs="Arial"/>
          <w:color w:val="010000"/>
          <w:sz w:val="20"/>
        </w:rPr>
        <w:t xml:space="preserve"> on authorizing the Board of Directors to select one out of three following audit companies to audit the Financial Statements 2024 of the Company:</w:t>
      </w:r>
    </w:p>
    <w:p w14:paraId="4C6A0F8C" w14:textId="77777777" w:rsidR="00A02D07" w:rsidRPr="009E201A" w:rsidRDefault="00AB77C2" w:rsidP="00EA55ED">
      <w:pPr>
        <w:numPr>
          <w:ilvl w:val="0"/>
          <w:numId w:val="1"/>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sidRPr="009E201A">
        <w:rPr>
          <w:rFonts w:ascii="Arial" w:hAnsi="Arial" w:cs="Arial"/>
          <w:color w:val="010000"/>
          <w:sz w:val="20"/>
        </w:rPr>
        <w:t>AASC Auditing Firm Company Limited.</w:t>
      </w:r>
    </w:p>
    <w:p w14:paraId="1BE3556A" w14:textId="0C45C705" w:rsidR="00A02D07" w:rsidRPr="009E201A" w:rsidRDefault="00AB77C2" w:rsidP="00EA55ED">
      <w:pPr>
        <w:numPr>
          <w:ilvl w:val="0"/>
          <w:numId w:val="1"/>
        </w:numPr>
        <w:pBdr>
          <w:top w:val="nil"/>
          <w:left w:val="nil"/>
          <w:bottom w:val="nil"/>
          <w:right w:val="nil"/>
          <w:between w:val="nil"/>
        </w:pBdr>
        <w:tabs>
          <w:tab w:val="left" w:pos="432"/>
          <w:tab w:val="left" w:pos="1122"/>
        </w:tabs>
        <w:spacing w:after="120" w:line="360" w:lineRule="auto"/>
        <w:rPr>
          <w:rFonts w:ascii="Arial" w:eastAsia="Arial" w:hAnsi="Arial" w:cs="Arial"/>
          <w:color w:val="010000"/>
          <w:sz w:val="20"/>
          <w:szCs w:val="20"/>
        </w:rPr>
      </w:pPr>
      <w:r w:rsidRPr="009E201A">
        <w:rPr>
          <w:rFonts w:ascii="Arial" w:hAnsi="Arial" w:cs="Arial"/>
          <w:color w:val="010000"/>
          <w:sz w:val="20"/>
        </w:rPr>
        <w:t>Nam Viet Auditing and Accounting Financial Consulting Services Co., Ltd.</w:t>
      </w:r>
      <w:r w:rsidRPr="009E201A">
        <w:rPr>
          <w:rFonts w:ascii="Arial" w:hAnsi="Arial" w:cs="Arial"/>
          <w:color w:val="010000"/>
          <w:sz w:val="20"/>
        </w:rPr>
        <w:tab/>
      </w:r>
    </w:p>
    <w:p w14:paraId="7B507807" w14:textId="0F59428F" w:rsidR="00A02D07" w:rsidRPr="009E201A" w:rsidRDefault="00AB77C2" w:rsidP="00EA55ED">
      <w:pPr>
        <w:numPr>
          <w:ilvl w:val="0"/>
          <w:numId w:val="1"/>
        </w:numPr>
        <w:pBdr>
          <w:top w:val="nil"/>
          <w:left w:val="nil"/>
          <w:bottom w:val="nil"/>
          <w:right w:val="nil"/>
          <w:between w:val="nil"/>
        </w:pBdr>
        <w:tabs>
          <w:tab w:val="left" w:pos="432"/>
          <w:tab w:val="left" w:pos="1142"/>
          <w:tab w:val="left" w:pos="9170"/>
        </w:tabs>
        <w:spacing w:after="120" w:line="360" w:lineRule="auto"/>
        <w:rPr>
          <w:rFonts w:ascii="Arial" w:eastAsia="Arial" w:hAnsi="Arial" w:cs="Arial"/>
          <w:color w:val="010000"/>
          <w:sz w:val="20"/>
          <w:szCs w:val="20"/>
        </w:rPr>
      </w:pPr>
      <w:r w:rsidRPr="009E201A">
        <w:rPr>
          <w:rFonts w:ascii="Arial" w:hAnsi="Arial" w:cs="Arial"/>
          <w:color w:val="010000"/>
          <w:sz w:val="20"/>
        </w:rPr>
        <w:t>AFC Vietnam Auditing Company Limited.</w:t>
      </w:r>
    </w:p>
    <w:p w14:paraId="5919B168" w14:textId="4E44D0EC"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Article 9. </w:t>
      </w:r>
      <w:r w:rsidR="00E72A7E" w:rsidRPr="009E201A">
        <w:rPr>
          <w:rFonts w:ascii="Arial" w:hAnsi="Arial" w:cs="Arial"/>
          <w:color w:val="010000"/>
          <w:sz w:val="20"/>
        </w:rPr>
        <w:t>A</w:t>
      </w:r>
      <w:r w:rsidRPr="009E201A">
        <w:rPr>
          <w:rFonts w:ascii="Arial" w:hAnsi="Arial" w:cs="Arial"/>
          <w:color w:val="010000"/>
          <w:sz w:val="20"/>
        </w:rPr>
        <w:t xml:space="preserve">pprove </w:t>
      </w:r>
      <w:r w:rsidR="00E72A7E" w:rsidRPr="009E201A">
        <w:rPr>
          <w:rFonts w:ascii="Arial" w:hAnsi="Arial" w:cs="Arial"/>
          <w:color w:val="010000"/>
          <w:sz w:val="20"/>
        </w:rPr>
        <w:t xml:space="preserve">on </w:t>
      </w:r>
      <w:r w:rsidRPr="009E201A">
        <w:rPr>
          <w:rFonts w:ascii="Arial" w:hAnsi="Arial" w:cs="Arial"/>
          <w:color w:val="010000"/>
          <w:sz w:val="20"/>
        </w:rPr>
        <w:t xml:space="preserve">continuing to implement the plan on transferring </w:t>
      </w:r>
      <w:r w:rsidR="00E72A7E" w:rsidRPr="009E201A">
        <w:rPr>
          <w:rFonts w:ascii="Arial" w:hAnsi="Arial" w:cs="Arial"/>
          <w:color w:val="010000"/>
          <w:sz w:val="20"/>
        </w:rPr>
        <w:t xml:space="preserve">registration for </w:t>
      </w:r>
      <w:r w:rsidRPr="009E201A">
        <w:rPr>
          <w:rFonts w:ascii="Arial" w:hAnsi="Arial" w:cs="Arial"/>
          <w:color w:val="010000"/>
          <w:sz w:val="20"/>
        </w:rPr>
        <w:t xml:space="preserve">share trading of the Company on UPCOM to listing shares at Ho Chi Minh City Stock Exchange (HOSE), </w:t>
      </w:r>
      <w:r w:rsidR="00E72A7E" w:rsidRPr="009E201A">
        <w:rPr>
          <w:rFonts w:ascii="Arial" w:hAnsi="Arial" w:cs="Arial"/>
          <w:color w:val="010000"/>
          <w:sz w:val="20"/>
        </w:rPr>
        <w:t xml:space="preserve">specifically </w:t>
      </w:r>
      <w:r w:rsidRPr="009E201A">
        <w:rPr>
          <w:rFonts w:ascii="Arial" w:hAnsi="Arial" w:cs="Arial"/>
          <w:color w:val="010000"/>
          <w:sz w:val="20"/>
        </w:rPr>
        <w:t xml:space="preserve">as follows: </w:t>
      </w:r>
    </w:p>
    <w:p w14:paraId="49B7CF34" w14:textId="77777777" w:rsidR="00A02D07" w:rsidRPr="009E201A" w:rsidRDefault="00AB77C2" w:rsidP="00EA55ED">
      <w:pPr>
        <w:numPr>
          <w:ilvl w:val="0"/>
          <w:numId w:val="4"/>
        </w:numPr>
        <w:pBdr>
          <w:top w:val="nil"/>
          <w:left w:val="nil"/>
          <w:bottom w:val="nil"/>
          <w:right w:val="nil"/>
          <w:between w:val="nil"/>
        </w:pBdr>
        <w:tabs>
          <w:tab w:val="left" w:pos="426"/>
          <w:tab w:val="left" w:pos="709"/>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Listed securities code: NTC</w:t>
      </w:r>
    </w:p>
    <w:p w14:paraId="2B94D15D" w14:textId="77777777" w:rsidR="00A02D07" w:rsidRPr="009E201A" w:rsidRDefault="00AB77C2" w:rsidP="00EA55ED">
      <w:pPr>
        <w:numPr>
          <w:ilvl w:val="0"/>
          <w:numId w:val="4"/>
        </w:numPr>
        <w:pBdr>
          <w:top w:val="nil"/>
          <w:left w:val="nil"/>
          <w:bottom w:val="nil"/>
          <w:right w:val="nil"/>
          <w:between w:val="nil"/>
        </w:pBdr>
        <w:tabs>
          <w:tab w:val="left" w:pos="426"/>
          <w:tab w:val="left" w:pos="709"/>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Number of shares registered for listing: Total number of outstanding shares of the Company at the time of exchange transfer.</w:t>
      </w:r>
    </w:p>
    <w:p w14:paraId="07309D9A" w14:textId="77777777" w:rsidR="00A02D07" w:rsidRPr="009E201A" w:rsidRDefault="00AB77C2" w:rsidP="00EA55ED">
      <w:pPr>
        <w:numPr>
          <w:ilvl w:val="0"/>
          <w:numId w:val="4"/>
        </w:numPr>
        <w:pBdr>
          <w:top w:val="nil"/>
          <w:left w:val="nil"/>
          <w:bottom w:val="nil"/>
          <w:right w:val="nil"/>
          <w:between w:val="nil"/>
        </w:pBdr>
        <w:tabs>
          <w:tab w:val="left" w:pos="426"/>
          <w:tab w:val="left" w:pos="709"/>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Expected date to submit registration dossiers for listing: In 2024-2025.</w:t>
      </w:r>
    </w:p>
    <w:p w14:paraId="6F1AD4FD" w14:textId="3118647F" w:rsidR="00A02D07" w:rsidRPr="009E201A" w:rsidRDefault="00AB77C2" w:rsidP="00EA55ED">
      <w:pPr>
        <w:numPr>
          <w:ilvl w:val="0"/>
          <w:numId w:val="4"/>
        </w:numPr>
        <w:pBdr>
          <w:top w:val="nil"/>
          <w:left w:val="nil"/>
          <w:bottom w:val="nil"/>
          <w:right w:val="nil"/>
          <w:between w:val="nil"/>
        </w:pBdr>
        <w:tabs>
          <w:tab w:val="left" w:pos="426"/>
          <w:tab w:val="left" w:pos="709"/>
          <w:tab w:val="left" w:pos="8706"/>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Continue to authorize the Board of Directors to actively </w:t>
      </w:r>
      <w:r w:rsidR="00E72A7E" w:rsidRPr="009E201A">
        <w:rPr>
          <w:rFonts w:ascii="Arial" w:hAnsi="Arial" w:cs="Arial"/>
          <w:color w:val="010000"/>
          <w:sz w:val="20"/>
        </w:rPr>
        <w:t>implement</w:t>
      </w:r>
      <w:r w:rsidRPr="009E201A">
        <w:rPr>
          <w:rFonts w:ascii="Arial" w:hAnsi="Arial" w:cs="Arial"/>
          <w:color w:val="010000"/>
          <w:sz w:val="20"/>
        </w:rPr>
        <w:t xml:space="preserve"> the plan on </w:t>
      </w:r>
      <w:r w:rsidR="00E72A7E" w:rsidRPr="009E201A">
        <w:rPr>
          <w:rFonts w:ascii="Arial" w:hAnsi="Arial" w:cs="Arial"/>
          <w:color w:val="010000"/>
          <w:sz w:val="20"/>
        </w:rPr>
        <w:t xml:space="preserve">transferring the </w:t>
      </w:r>
      <w:r w:rsidR="00E72A7E" w:rsidRPr="009E201A">
        <w:rPr>
          <w:rFonts w:ascii="Arial" w:hAnsi="Arial" w:cs="Arial"/>
          <w:color w:val="010000"/>
          <w:sz w:val="20"/>
        </w:rPr>
        <w:lastRenderedPageBreak/>
        <w:t>exchange</w:t>
      </w:r>
      <w:r w:rsidRPr="009E201A">
        <w:rPr>
          <w:rFonts w:ascii="Arial" w:hAnsi="Arial" w:cs="Arial"/>
          <w:color w:val="010000"/>
          <w:sz w:val="20"/>
        </w:rPr>
        <w:t xml:space="preserve"> according to the above contents, including but not limited to the following tasks:</w:t>
      </w:r>
    </w:p>
    <w:p w14:paraId="7369E904" w14:textId="672A2DD0" w:rsidR="00A02D07" w:rsidRPr="009E201A" w:rsidRDefault="00AB77C2" w:rsidP="00EA5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 xml:space="preserve"> </w:t>
      </w:r>
      <w:r w:rsidR="00E72A7E" w:rsidRPr="009E201A">
        <w:rPr>
          <w:rFonts w:ascii="Arial" w:hAnsi="Arial" w:cs="Arial"/>
          <w:color w:val="010000"/>
          <w:sz w:val="20"/>
        </w:rPr>
        <w:t>Implement</w:t>
      </w:r>
      <w:r w:rsidRPr="009E201A">
        <w:rPr>
          <w:rFonts w:ascii="Arial" w:hAnsi="Arial" w:cs="Arial"/>
          <w:color w:val="010000"/>
          <w:sz w:val="20"/>
        </w:rPr>
        <w:t xml:space="preserve"> necessary procedures with </w:t>
      </w:r>
      <w:r w:rsidR="00E72A7E" w:rsidRPr="009E201A">
        <w:rPr>
          <w:rFonts w:ascii="Arial" w:hAnsi="Arial" w:cs="Arial"/>
          <w:color w:val="010000"/>
          <w:sz w:val="20"/>
        </w:rPr>
        <w:t xml:space="preserve">the </w:t>
      </w:r>
      <w:r w:rsidRPr="009E201A">
        <w:rPr>
          <w:rFonts w:ascii="Arial" w:hAnsi="Arial" w:cs="Arial"/>
          <w:color w:val="010000"/>
          <w:sz w:val="20"/>
        </w:rPr>
        <w:t>Hanoi Stock Exchange (HNX), Ho Chi Minh City Stock Exchange (HOSE), and Vietnam Securities Depository and Clearing Corporation to complete the process of transferring share trading registration to listing in Ho Chi Minh Stock Exchange (HOSE);</w:t>
      </w:r>
    </w:p>
    <w:p w14:paraId="411D2914" w14:textId="416DF000" w:rsidR="00A02D07" w:rsidRPr="009E201A" w:rsidRDefault="00AB77C2" w:rsidP="00EA5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 xml:space="preserve"> Actively adjust and supplement the dossiers required by relevant agencies to complete the process of transferring share trading registration to listing in Ho Chi Minh Stock Exchange (HOSE) in </w:t>
      </w:r>
      <w:r w:rsidR="004F2434" w:rsidRPr="009E201A">
        <w:rPr>
          <w:rFonts w:ascii="Arial" w:hAnsi="Arial" w:cs="Arial"/>
          <w:color w:val="010000"/>
          <w:sz w:val="20"/>
        </w:rPr>
        <w:t xml:space="preserve">accordance with the </w:t>
      </w:r>
      <w:r w:rsidRPr="009E201A">
        <w:rPr>
          <w:rFonts w:ascii="Arial" w:hAnsi="Arial" w:cs="Arial"/>
          <w:color w:val="010000"/>
          <w:sz w:val="20"/>
        </w:rPr>
        <w:t>provisions of the law.</w:t>
      </w:r>
      <w:r w:rsidR="00E6390D" w:rsidRPr="009E201A">
        <w:rPr>
          <w:rFonts w:ascii="Arial" w:hAnsi="Arial" w:cs="Arial"/>
          <w:color w:val="010000"/>
          <w:sz w:val="20"/>
        </w:rPr>
        <w:t xml:space="preserve"> </w:t>
      </w:r>
    </w:p>
    <w:p w14:paraId="16BDAA07" w14:textId="628EB667" w:rsidR="00A02D07" w:rsidRPr="009E201A" w:rsidRDefault="00AB77C2" w:rsidP="00EA5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 xml:space="preserve"> Decide on the appropriate time to record the list of shareholders </w:t>
      </w:r>
      <w:r w:rsidR="004F2434" w:rsidRPr="009E201A">
        <w:rPr>
          <w:rFonts w:ascii="Arial" w:hAnsi="Arial" w:cs="Arial"/>
          <w:color w:val="010000"/>
          <w:sz w:val="20"/>
        </w:rPr>
        <w:t>to transfer</w:t>
      </w:r>
      <w:r w:rsidRPr="009E201A">
        <w:rPr>
          <w:rFonts w:ascii="Arial" w:hAnsi="Arial" w:cs="Arial"/>
          <w:color w:val="010000"/>
          <w:sz w:val="20"/>
        </w:rPr>
        <w:t xml:space="preserve"> trading registration to listing;</w:t>
      </w:r>
    </w:p>
    <w:p w14:paraId="05308625" w14:textId="77777777" w:rsidR="00A02D07" w:rsidRPr="009E201A" w:rsidRDefault="00AB77C2" w:rsidP="00EA5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 xml:space="preserve"> Select and decide the time for the Company's shares to be officially listed after completing the procedures according to the regulations;</w:t>
      </w:r>
    </w:p>
    <w:p w14:paraId="3196E460" w14:textId="398159A9" w:rsidR="00A02D07" w:rsidRPr="009E201A" w:rsidRDefault="00AB77C2" w:rsidP="00EA5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 xml:space="preserve"> Decide on the reference price </w:t>
      </w:r>
      <w:r w:rsidR="004F2434" w:rsidRPr="009E201A">
        <w:rPr>
          <w:rFonts w:ascii="Arial" w:hAnsi="Arial" w:cs="Arial"/>
          <w:color w:val="010000"/>
          <w:sz w:val="20"/>
        </w:rPr>
        <w:t>for</w:t>
      </w:r>
      <w:r w:rsidRPr="009E201A">
        <w:rPr>
          <w:rFonts w:ascii="Arial" w:hAnsi="Arial" w:cs="Arial"/>
          <w:color w:val="010000"/>
          <w:sz w:val="20"/>
        </w:rPr>
        <w:t xml:space="preserve"> the first trading day of the listed shares;</w:t>
      </w:r>
    </w:p>
    <w:p w14:paraId="04C413CA" w14:textId="731D4A92" w:rsidR="00A02D07" w:rsidRPr="009E201A" w:rsidRDefault="00AB77C2" w:rsidP="00EA55ED">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E201A">
        <w:rPr>
          <w:rFonts w:ascii="Arial" w:hAnsi="Arial" w:cs="Arial"/>
          <w:color w:val="010000"/>
          <w:sz w:val="20"/>
        </w:rPr>
        <w:t xml:space="preserve"> And other relevant tasks to complete the procedures for transferring the share trading registration to </w:t>
      </w:r>
      <w:r w:rsidR="004F2434" w:rsidRPr="009E201A">
        <w:rPr>
          <w:rFonts w:ascii="Arial" w:hAnsi="Arial" w:cs="Arial"/>
          <w:color w:val="010000"/>
          <w:sz w:val="20"/>
        </w:rPr>
        <w:t xml:space="preserve">share </w:t>
      </w:r>
      <w:r w:rsidRPr="009E201A">
        <w:rPr>
          <w:rFonts w:ascii="Arial" w:hAnsi="Arial" w:cs="Arial"/>
          <w:color w:val="010000"/>
          <w:sz w:val="20"/>
        </w:rPr>
        <w:t xml:space="preserve">listing </w:t>
      </w:r>
      <w:r w:rsidR="004F2434" w:rsidRPr="009E201A">
        <w:rPr>
          <w:rFonts w:ascii="Arial" w:hAnsi="Arial" w:cs="Arial"/>
          <w:color w:val="010000"/>
          <w:sz w:val="20"/>
        </w:rPr>
        <w:t>in Ho Chi Minh Stock Exchange</w:t>
      </w:r>
      <w:r w:rsidRPr="009E201A">
        <w:rPr>
          <w:rFonts w:ascii="Arial" w:hAnsi="Arial" w:cs="Arial"/>
          <w:color w:val="010000"/>
          <w:sz w:val="20"/>
        </w:rPr>
        <w:t>.</w:t>
      </w:r>
    </w:p>
    <w:p w14:paraId="7137E8D9" w14:textId="3F8AE9C3"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Article 10. </w:t>
      </w:r>
      <w:r w:rsidR="004F2434" w:rsidRPr="009E201A">
        <w:rPr>
          <w:rFonts w:ascii="Arial" w:hAnsi="Arial" w:cs="Arial"/>
          <w:color w:val="010000"/>
          <w:sz w:val="20"/>
        </w:rPr>
        <w:t>A</w:t>
      </w:r>
      <w:r w:rsidRPr="009E201A">
        <w:rPr>
          <w:rFonts w:ascii="Arial" w:hAnsi="Arial" w:cs="Arial"/>
          <w:color w:val="010000"/>
          <w:sz w:val="20"/>
        </w:rPr>
        <w:t xml:space="preserve">pprove the dismissal of </w:t>
      </w:r>
      <w:r w:rsidR="004F2434" w:rsidRPr="009E201A">
        <w:rPr>
          <w:rFonts w:ascii="Arial" w:hAnsi="Arial" w:cs="Arial"/>
          <w:color w:val="010000"/>
          <w:sz w:val="20"/>
        </w:rPr>
        <w:t xml:space="preserve">a member of the Board of Directors </w:t>
      </w:r>
      <w:r w:rsidRPr="009E201A">
        <w:rPr>
          <w:rFonts w:ascii="Arial" w:hAnsi="Arial" w:cs="Arial"/>
          <w:color w:val="010000"/>
          <w:sz w:val="20"/>
        </w:rPr>
        <w:t xml:space="preserve">of Nam Tan Uyen Joint Stock Corporation </w:t>
      </w:r>
      <w:r w:rsidR="004F2434" w:rsidRPr="009E201A">
        <w:rPr>
          <w:rFonts w:ascii="Arial" w:hAnsi="Arial" w:cs="Arial"/>
          <w:color w:val="010000"/>
          <w:sz w:val="20"/>
        </w:rPr>
        <w:t xml:space="preserve">for Mr. Ha Trong Binh </w:t>
      </w:r>
      <w:r w:rsidRPr="009E201A">
        <w:rPr>
          <w:rFonts w:ascii="Arial" w:hAnsi="Arial" w:cs="Arial"/>
          <w:color w:val="010000"/>
          <w:sz w:val="20"/>
        </w:rPr>
        <w:t xml:space="preserve">according to his wish. </w:t>
      </w:r>
    </w:p>
    <w:p w14:paraId="08ECBD14" w14:textId="23DD636E"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Article 11. </w:t>
      </w:r>
      <w:r w:rsidR="004F2434" w:rsidRPr="009E201A">
        <w:rPr>
          <w:rFonts w:ascii="Arial" w:hAnsi="Arial" w:cs="Arial"/>
          <w:color w:val="010000"/>
          <w:sz w:val="20"/>
        </w:rPr>
        <w:t>A</w:t>
      </w:r>
      <w:r w:rsidRPr="009E201A">
        <w:rPr>
          <w:rFonts w:ascii="Arial" w:hAnsi="Arial" w:cs="Arial"/>
          <w:color w:val="010000"/>
          <w:sz w:val="20"/>
        </w:rPr>
        <w:t xml:space="preserve">pprove </w:t>
      </w:r>
      <w:r w:rsidR="004F2434" w:rsidRPr="009E201A">
        <w:rPr>
          <w:rFonts w:ascii="Arial" w:hAnsi="Arial" w:cs="Arial"/>
          <w:color w:val="010000"/>
          <w:sz w:val="20"/>
        </w:rPr>
        <w:t xml:space="preserve">on </w:t>
      </w:r>
      <w:r w:rsidRPr="009E201A">
        <w:rPr>
          <w:rFonts w:ascii="Arial" w:hAnsi="Arial" w:cs="Arial"/>
          <w:color w:val="010000"/>
          <w:sz w:val="20"/>
        </w:rPr>
        <w:t xml:space="preserve">amending Article 3 of the Charter </w:t>
      </w:r>
      <w:r w:rsidR="00BC0675" w:rsidRPr="009E201A">
        <w:rPr>
          <w:rFonts w:ascii="Arial" w:hAnsi="Arial" w:cs="Arial"/>
          <w:color w:val="010000"/>
          <w:sz w:val="20"/>
        </w:rPr>
        <w:t>on</w:t>
      </w:r>
      <w:r w:rsidRPr="009E201A">
        <w:rPr>
          <w:rFonts w:ascii="Arial" w:hAnsi="Arial" w:cs="Arial"/>
          <w:color w:val="010000"/>
          <w:sz w:val="20"/>
        </w:rPr>
        <w:t xml:space="preserve"> </w:t>
      </w:r>
      <w:r w:rsidR="00BC0675" w:rsidRPr="009E201A">
        <w:rPr>
          <w:rFonts w:ascii="Arial" w:hAnsi="Arial" w:cs="Arial"/>
          <w:color w:val="010000"/>
          <w:sz w:val="20"/>
        </w:rPr>
        <w:t>O</w:t>
      </w:r>
      <w:r w:rsidRPr="009E201A">
        <w:rPr>
          <w:rFonts w:ascii="Arial" w:hAnsi="Arial" w:cs="Arial"/>
          <w:color w:val="010000"/>
          <w:sz w:val="20"/>
        </w:rPr>
        <w:t xml:space="preserve">rganization and </w:t>
      </w:r>
      <w:r w:rsidR="00BC0675" w:rsidRPr="009E201A">
        <w:rPr>
          <w:rFonts w:ascii="Arial" w:hAnsi="Arial" w:cs="Arial"/>
          <w:color w:val="010000"/>
          <w:sz w:val="20"/>
        </w:rPr>
        <w:t>O</w:t>
      </w:r>
      <w:r w:rsidRPr="009E201A">
        <w:rPr>
          <w:rFonts w:ascii="Arial" w:hAnsi="Arial" w:cs="Arial"/>
          <w:color w:val="010000"/>
          <w:sz w:val="20"/>
        </w:rPr>
        <w:t>peration of Nam Tan Uyen Joint Stock Corporation as follows:</w:t>
      </w:r>
    </w:p>
    <w:p w14:paraId="7D1E5FA2" w14:textId="77777777"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3. The legal representative of the Company</w:t>
      </w:r>
    </w:p>
    <w:p w14:paraId="1147D2F9" w14:textId="7F30D1BA" w:rsidR="00A02D07" w:rsidRPr="009E201A" w:rsidRDefault="00AB77C2" w:rsidP="00EA55ED">
      <w:pPr>
        <w:numPr>
          <w:ilvl w:val="0"/>
          <w:numId w:val="4"/>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The Company has 02 legal representatives, including the Chair of the Board of </w:t>
      </w:r>
      <w:r w:rsidR="004F2434" w:rsidRPr="009E201A">
        <w:rPr>
          <w:rFonts w:ascii="Arial" w:hAnsi="Arial" w:cs="Arial"/>
          <w:color w:val="010000"/>
          <w:sz w:val="20"/>
        </w:rPr>
        <w:t>Directors</w:t>
      </w:r>
      <w:r w:rsidRPr="009E201A">
        <w:rPr>
          <w:rFonts w:ascii="Arial" w:hAnsi="Arial" w:cs="Arial"/>
          <w:color w:val="010000"/>
          <w:sz w:val="20"/>
        </w:rPr>
        <w:t xml:space="preserve"> and the General Manager.</w:t>
      </w:r>
    </w:p>
    <w:p w14:paraId="0B755D85" w14:textId="2ED05168" w:rsidR="00A02D07" w:rsidRPr="009E201A" w:rsidRDefault="00AB77C2" w:rsidP="00EA55ED">
      <w:pPr>
        <w:numPr>
          <w:ilvl w:val="0"/>
          <w:numId w:val="4"/>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sidRPr="009E201A">
        <w:rPr>
          <w:rFonts w:ascii="Arial" w:hAnsi="Arial" w:cs="Arial"/>
          <w:color w:val="010000"/>
          <w:sz w:val="20"/>
        </w:rPr>
        <w:t xml:space="preserve">The authorities and </w:t>
      </w:r>
      <w:r w:rsidR="004F2434" w:rsidRPr="009E201A">
        <w:rPr>
          <w:rFonts w:ascii="Arial" w:hAnsi="Arial" w:cs="Arial"/>
          <w:color w:val="010000"/>
          <w:sz w:val="20"/>
        </w:rPr>
        <w:t>obligations</w:t>
      </w:r>
      <w:r w:rsidRPr="009E201A">
        <w:rPr>
          <w:rFonts w:ascii="Arial" w:hAnsi="Arial" w:cs="Arial"/>
          <w:color w:val="010000"/>
          <w:sz w:val="20"/>
        </w:rPr>
        <w:t xml:space="preserve"> of legal representatives are regulated </w:t>
      </w:r>
      <w:r w:rsidR="004F2434" w:rsidRPr="009E201A">
        <w:rPr>
          <w:rFonts w:ascii="Arial" w:hAnsi="Arial" w:cs="Arial"/>
          <w:color w:val="010000"/>
          <w:sz w:val="20"/>
        </w:rPr>
        <w:t>in</w:t>
      </w:r>
      <w:r w:rsidRPr="009E201A">
        <w:rPr>
          <w:rFonts w:ascii="Arial" w:hAnsi="Arial" w:cs="Arial"/>
          <w:color w:val="010000"/>
          <w:sz w:val="20"/>
        </w:rPr>
        <w:t xml:space="preserve"> the Law on Enterprises and the Company’s Charter”</w:t>
      </w:r>
    </w:p>
    <w:p w14:paraId="30918099" w14:textId="3A20A09E"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E201A">
        <w:rPr>
          <w:rFonts w:ascii="Arial" w:hAnsi="Arial" w:cs="Arial"/>
          <w:color w:val="010000"/>
          <w:sz w:val="20"/>
        </w:rPr>
        <w:t>Article 12. The General Meeting of Shareholders assign</w:t>
      </w:r>
      <w:r w:rsidR="004F2434" w:rsidRPr="009E201A">
        <w:rPr>
          <w:rFonts w:ascii="Arial" w:hAnsi="Arial" w:cs="Arial"/>
          <w:color w:val="010000"/>
          <w:sz w:val="20"/>
        </w:rPr>
        <w:t>ed</w:t>
      </w:r>
      <w:r w:rsidRPr="009E201A">
        <w:rPr>
          <w:rFonts w:ascii="Arial" w:hAnsi="Arial" w:cs="Arial"/>
          <w:color w:val="010000"/>
          <w:sz w:val="20"/>
        </w:rPr>
        <w:t xml:space="preserve"> the Board of Directors to implement this General Mandate in accordance with the </w:t>
      </w:r>
      <w:r w:rsidR="004F2434" w:rsidRPr="009E201A">
        <w:rPr>
          <w:rFonts w:ascii="Arial" w:hAnsi="Arial" w:cs="Arial"/>
          <w:color w:val="010000"/>
          <w:sz w:val="20"/>
        </w:rPr>
        <w:t>provisions</w:t>
      </w:r>
      <w:r w:rsidRPr="009E201A">
        <w:rPr>
          <w:rFonts w:ascii="Arial" w:hAnsi="Arial" w:cs="Arial"/>
          <w:color w:val="010000"/>
          <w:sz w:val="20"/>
        </w:rPr>
        <w:t xml:space="preserve"> of law and the Charter on Organization and Operation</w:t>
      </w:r>
      <w:r w:rsidR="004F2434" w:rsidRPr="009E201A">
        <w:rPr>
          <w:rFonts w:ascii="Arial" w:hAnsi="Arial" w:cs="Arial"/>
          <w:color w:val="010000"/>
          <w:sz w:val="20"/>
        </w:rPr>
        <w:t xml:space="preserve"> of the Company.</w:t>
      </w:r>
    </w:p>
    <w:p w14:paraId="58FF39C8" w14:textId="7875D19C" w:rsidR="00A02D07" w:rsidRPr="009E201A" w:rsidRDefault="00AB77C2" w:rsidP="00EA55ED">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bookmarkStart w:id="1" w:name="_heading=h.gjdgxs"/>
      <w:bookmarkEnd w:id="1"/>
      <w:r w:rsidRPr="009E201A">
        <w:rPr>
          <w:rFonts w:ascii="Arial" w:hAnsi="Arial" w:cs="Arial"/>
          <w:color w:val="010000"/>
          <w:sz w:val="20"/>
        </w:rPr>
        <w:t xml:space="preserve">This </w:t>
      </w:r>
      <w:r w:rsidR="004F2434" w:rsidRPr="009E201A">
        <w:rPr>
          <w:rFonts w:ascii="Arial" w:hAnsi="Arial" w:cs="Arial"/>
          <w:color w:val="010000"/>
          <w:sz w:val="20"/>
        </w:rPr>
        <w:t xml:space="preserve">General Mandate </w:t>
      </w:r>
      <w:r w:rsidRPr="009E201A">
        <w:rPr>
          <w:rFonts w:ascii="Arial" w:hAnsi="Arial" w:cs="Arial"/>
          <w:color w:val="010000"/>
          <w:sz w:val="20"/>
        </w:rPr>
        <w:t>takes effect from the date of its signing.</w:t>
      </w:r>
    </w:p>
    <w:sectPr w:rsidR="00A02D07" w:rsidRPr="009E201A" w:rsidSect="00EA55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D3C62"/>
    <w:multiLevelType w:val="multilevel"/>
    <w:tmpl w:val="6F5472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B7361B6"/>
    <w:multiLevelType w:val="multilevel"/>
    <w:tmpl w:val="C69CC494"/>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57081B"/>
    <w:multiLevelType w:val="multilevel"/>
    <w:tmpl w:val="4AF62CBC"/>
    <w:lvl w:ilvl="0">
      <w:start w:val="1"/>
      <w:numFmt w:val="decimal"/>
      <w:lvlText w:val="%1."/>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BD70F90"/>
    <w:multiLevelType w:val="multilevel"/>
    <w:tmpl w:val="DC1CAFD8"/>
    <w:lvl w:ilvl="0">
      <w:start w:val="1"/>
      <w:numFmt w:val="bullet"/>
      <w:lvlText w:val="+"/>
      <w:lvlJc w:val="left"/>
      <w:pPr>
        <w:ind w:left="720" w:hanging="360"/>
      </w:pPr>
      <w:rPr>
        <w:b w:val="0"/>
        <w:i w:val="0"/>
        <w:sz w:val="20"/>
        <w:u w:val="none"/>
      </w:rPr>
    </w:lvl>
    <w:lvl w:ilvl="1">
      <w:start w:val="1"/>
      <w:numFmt w:val="bullet"/>
      <w:lvlText w:val="+"/>
      <w:lvlJc w:val="left"/>
      <w:pPr>
        <w:ind w:left="1440" w:hanging="360"/>
      </w:pPr>
      <w:rPr>
        <w:b w:val="0"/>
        <w:i w:val="0"/>
        <w:sz w:val="20"/>
        <w:u w:val="none"/>
      </w:rPr>
    </w:lvl>
    <w:lvl w:ilvl="2">
      <w:start w:val="1"/>
      <w:numFmt w:val="bullet"/>
      <w:lvlText w:val="+"/>
      <w:lvlJc w:val="left"/>
      <w:pPr>
        <w:ind w:left="2160" w:hanging="360"/>
      </w:pPr>
      <w:rPr>
        <w:b w:val="0"/>
        <w:i w:val="0"/>
        <w:sz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E951C3"/>
    <w:multiLevelType w:val="multilevel"/>
    <w:tmpl w:val="B44A1E1C"/>
    <w:lvl w:ilvl="0">
      <w:start w:val="1"/>
      <w:numFmt w:val="decimal"/>
      <w:lvlText w:val="%1."/>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FAB482F"/>
    <w:multiLevelType w:val="multilevel"/>
    <w:tmpl w:val="CB5ADEE8"/>
    <w:lvl w:ilvl="0">
      <w:start w:val="1"/>
      <w:numFmt w:val="decimal"/>
      <w:lvlText w:val="%1."/>
      <w:lvlJc w:val="left"/>
      <w:pPr>
        <w:ind w:left="0" w:firstLine="0"/>
      </w:pPr>
      <w:rPr>
        <w:rFonts w:ascii="Arial" w:eastAsia="Arial" w:hAnsi="Arial" w:cs="Arial"/>
        <w:b w:val="0"/>
        <w:i w:val="0"/>
        <w:smallCaps w:val="0"/>
        <w:strike w:val="0"/>
        <w:color w:val="0A0B14"/>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7"/>
    <w:rsid w:val="00032D20"/>
    <w:rsid w:val="003B5457"/>
    <w:rsid w:val="004F2434"/>
    <w:rsid w:val="00903063"/>
    <w:rsid w:val="009E201A"/>
    <w:rsid w:val="00A015DF"/>
    <w:rsid w:val="00A02D07"/>
    <w:rsid w:val="00AB2F1F"/>
    <w:rsid w:val="00AB77C2"/>
    <w:rsid w:val="00BC0675"/>
    <w:rsid w:val="00E6390D"/>
    <w:rsid w:val="00E72A7E"/>
    <w:rsid w:val="00EA5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FBCF"/>
  <w15:docId w15:val="{3BE9563B-96ED-40CC-8BA4-1A6B780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0A0B14"/>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73454"/>
      <w:sz w:val="17"/>
      <w:szCs w:val="17"/>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73454"/>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4" w:lineRule="auto"/>
      <w:ind w:firstLine="400"/>
    </w:pPr>
    <w:rPr>
      <w:rFonts w:ascii="Times New Roman" w:eastAsia="Times New Roman" w:hAnsi="Times New Roman" w:cs="Times New Roman"/>
      <w:color w:val="0A0B14"/>
      <w:sz w:val="26"/>
      <w:szCs w:val="26"/>
    </w:rPr>
  </w:style>
  <w:style w:type="paragraph" w:customStyle="1" w:styleId="Vnbnnidung30">
    <w:name w:val="Văn bản nội dung (3)"/>
    <w:basedOn w:val="Normal"/>
    <w:link w:val="Vnbnnidung3"/>
    <w:rPr>
      <w:rFonts w:ascii="Arial" w:eastAsia="Arial" w:hAnsi="Arial" w:cs="Arial"/>
      <w:color w:val="C73454"/>
      <w:sz w:val="17"/>
      <w:szCs w:val="17"/>
    </w:rPr>
  </w:style>
  <w:style w:type="paragraph" w:customStyle="1" w:styleId="Vnbnnidung40">
    <w:name w:val="Văn bản nội dung (4)"/>
    <w:basedOn w:val="Normal"/>
    <w:link w:val="Vnbnnidung4"/>
    <w:pPr>
      <w:spacing w:line="259" w:lineRule="auto"/>
      <w:jc w:val="center"/>
    </w:pPr>
    <w:rPr>
      <w:rFonts w:ascii="Arial" w:eastAsia="Arial" w:hAnsi="Arial" w:cs="Arial"/>
      <w:color w:val="C73454"/>
      <w:sz w:val="20"/>
      <w:szCs w:val="20"/>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table" w:styleId="TableGrid">
    <w:name w:val="Table Grid"/>
    <w:basedOn w:val="TableNormal"/>
    <w:uiPriority w:val="39"/>
    <w:rsid w:val="007B0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tblgBOIVpRMfXg0XDLomkpC9g==">CgMxLjAyCGguZ2pkZ3hzOAByITFUM3dJZG44eHZNcW9VZDRYU25CaC04QUJkOXFCbl83TA==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Thu Giang</dc:creator>
  <cp:lastModifiedBy>Nguyen Thi Thu Giang</cp:lastModifiedBy>
  <cp:revision>2</cp:revision>
  <dcterms:created xsi:type="dcterms:W3CDTF">2024-06-25T03:21:00Z</dcterms:created>
  <dcterms:modified xsi:type="dcterms:W3CDTF">2024-06-25T03:21:00Z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5e56c2a54a958f698a1fdf6b2d9348085dee1202f60f1f06a7444eee54a48ba5</vt:lpwstr>
  </property>
</Properties>
</file>