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C83A4"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814690">
        <w:rPr>
          <w:rFonts w:ascii="Arial" w:hAnsi="Arial" w:cs="Arial"/>
          <w:b/>
          <w:color w:val="010000"/>
          <w:sz w:val="20"/>
        </w:rPr>
        <w:t>PVS: Annual General Mandate 2024</w:t>
      </w:r>
    </w:p>
    <w:p w14:paraId="096314E8"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 xml:space="preserve">On June 17, 2024, Petro Vietnam Technical Services Corporation announced General Mandate </w:t>
      </w:r>
      <w:r w:rsidR="00B00DE0" w:rsidRPr="00814690">
        <w:rPr>
          <w:rFonts w:ascii="Arial" w:hAnsi="Arial" w:cs="Arial"/>
          <w:color w:val="010000"/>
          <w:sz w:val="20"/>
        </w:rPr>
        <w:t xml:space="preserve">No. </w:t>
      </w:r>
      <w:r w:rsidRPr="00814690">
        <w:rPr>
          <w:rFonts w:ascii="Arial" w:hAnsi="Arial" w:cs="Arial"/>
          <w:color w:val="010000"/>
          <w:sz w:val="20"/>
        </w:rPr>
        <w:t>337/NQ-PTSC-DHDCD as follows:</w:t>
      </w:r>
    </w:p>
    <w:p w14:paraId="3925B218"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lang w:val="vi-VN"/>
        </w:rPr>
      </w:pPr>
      <w:r w:rsidRPr="00814690">
        <w:rPr>
          <w:rFonts w:ascii="Arial" w:hAnsi="Arial" w:cs="Arial"/>
          <w:color w:val="010000"/>
          <w:sz w:val="20"/>
        </w:rPr>
        <w:t>‎‎Article 1. Approve the Report of the Board of Directors, the Report on the production and business results in 2023</w:t>
      </w:r>
      <w:r w:rsidR="00E50C55" w:rsidRPr="00814690">
        <w:rPr>
          <w:rFonts w:ascii="Arial" w:hAnsi="Arial" w:cs="Arial"/>
          <w:color w:val="010000"/>
          <w:sz w:val="20"/>
        </w:rPr>
        <w:t xml:space="preserve">, and the </w:t>
      </w:r>
      <w:r w:rsidR="00E50C55" w:rsidRPr="00814690">
        <w:rPr>
          <w:rFonts w:ascii="Arial" w:hAnsi="Arial" w:cs="Arial"/>
          <w:color w:val="010000"/>
          <w:sz w:val="20"/>
          <w:lang w:val="vi-VN"/>
        </w:rPr>
        <w:t>p</w:t>
      </w:r>
      <w:r w:rsidRPr="00814690">
        <w:rPr>
          <w:rFonts w:ascii="Arial" w:hAnsi="Arial" w:cs="Arial"/>
          <w:color w:val="010000"/>
          <w:sz w:val="20"/>
        </w:rPr>
        <w:t xml:space="preserve">lan for 2024, the Report of the Supervisory </w:t>
      </w:r>
      <w:r w:rsidR="00E50C55" w:rsidRPr="00814690">
        <w:rPr>
          <w:rFonts w:ascii="Arial" w:hAnsi="Arial" w:cs="Arial"/>
          <w:color w:val="010000"/>
          <w:sz w:val="20"/>
          <w:lang w:val="vi-VN"/>
        </w:rPr>
        <w:t>Board.</w:t>
      </w:r>
    </w:p>
    <w:p w14:paraId="762E03D4"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Production and business results in 2</w:t>
      </w:r>
      <w:bookmarkStart w:id="0" w:name="_GoBack"/>
      <w:bookmarkEnd w:id="0"/>
      <w:r w:rsidRPr="00814690">
        <w:rPr>
          <w:rFonts w:ascii="Arial" w:hAnsi="Arial" w:cs="Arial"/>
          <w:color w:val="010000"/>
          <w:sz w:val="20"/>
        </w:rPr>
        <w:t>023:</w:t>
      </w:r>
    </w:p>
    <w:p w14:paraId="5E55D64C" w14:textId="77777777" w:rsidR="00EB675E" w:rsidRPr="00814690" w:rsidRDefault="004C2BB8" w:rsidP="00C94BD4">
      <w:pPr>
        <w:numPr>
          <w:ilvl w:val="0"/>
          <w:numId w:val="1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4690">
        <w:rPr>
          <w:rFonts w:ascii="Arial" w:hAnsi="Arial" w:cs="Arial"/>
          <w:color w:val="010000"/>
          <w:sz w:val="20"/>
        </w:rPr>
        <w:t xml:space="preserve">Consolidated production and business </w:t>
      </w:r>
      <w:r w:rsidR="00E50C55" w:rsidRPr="00814690">
        <w:rPr>
          <w:rFonts w:ascii="Arial" w:hAnsi="Arial" w:cs="Arial"/>
          <w:color w:val="010000"/>
          <w:sz w:val="20"/>
          <w:lang w:val="vi-VN"/>
        </w:rPr>
        <w:t xml:space="preserve">targets </w:t>
      </w:r>
      <w:r w:rsidRPr="00814690">
        <w:rPr>
          <w:rFonts w:ascii="Arial" w:hAnsi="Arial" w:cs="Arial"/>
          <w:color w:val="010000"/>
          <w:sz w:val="20"/>
        </w:rPr>
        <w:t>of Petro Vietnam Technical Services Corporation</w:t>
      </w:r>
    </w:p>
    <w:p w14:paraId="1E0B0C3C"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Unit: Billion VND</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7"/>
        <w:gridCol w:w="2293"/>
        <w:gridCol w:w="1340"/>
        <w:gridCol w:w="1201"/>
        <w:gridCol w:w="1210"/>
        <w:gridCol w:w="1210"/>
        <w:gridCol w:w="1218"/>
      </w:tblGrid>
      <w:tr w:rsidR="00E50C55" w:rsidRPr="00814690" w14:paraId="40600277" w14:textId="77777777" w:rsidTr="009D1D78">
        <w:tc>
          <w:tcPr>
            <w:tcW w:w="303" w:type="pct"/>
            <w:shd w:val="clear" w:color="auto" w:fill="auto"/>
            <w:tcMar>
              <w:top w:w="0" w:type="dxa"/>
              <w:bottom w:w="0" w:type="dxa"/>
            </w:tcMar>
            <w:vAlign w:val="center"/>
          </w:tcPr>
          <w:p w14:paraId="28E11F7B" w14:textId="77777777" w:rsidR="00EB675E" w:rsidRPr="00814690" w:rsidRDefault="00B00DE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 xml:space="preserve">No. </w:t>
            </w:r>
          </w:p>
        </w:tc>
        <w:tc>
          <w:tcPr>
            <w:tcW w:w="1271" w:type="pct"/>
            <w:shd w:val="clear" w:color="auto" w:fill="auto"/>
            <w:tcMar>
              <w:top w:w="0" w:type="dxa"/>
              <w:bottom w:w="0" w:type="dxa"/>
            </w:tcMar>
            <w:vAlign w:val="center"/>
          </w:tcPr>
          <w:p w14:paraId="5F8188AC" w14:textId="77777777" w:rsidR="00EB675E" w:rsidRPr="00814690" w:rsidRDefault="00E50C55"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eastAsia="Arial" w:hAnsi="Arial" w:cs="Arial"/>
                <w:color w:val="010000"/>
                <w:sz w:val="20"/>
                <w:szCs w:val="20"/>
                <w:lang w:val="vi-VN"/>
              </w:rPr>
              <w:t>Targets</w:t>
            </w:r>
          </w:p>
        </w:tc>
        <w:tc>
          <w:tcPr>
            <w:tcW w:w="743" w:type="pct"/>
            <w:shd w:val="clear" w:color="auto" w:fill="auto"/>
            <w:tcMar>
              <w:top w:w="0" w:type="dxa"/>
              <w:bottom w:w="0" w:type="dxa"/>
            </w:tcMar>
            <w:vAlign w:val="center"/>
          </w:tcPr>
          <w:p w14:paraId="07652A45"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Results 2022</w:t>
            </w:r>
          </w:p>
        </w:tc>
        <w:tc>
          <w:tcPr>
            <w:tcW w:w="666" w:type="pct"/>
            <w:shd w:val="clear" w:color="auto" w:fill="auto"/>
            <w:tcMar>
              <w:top w:w="0" w:type="dxa"/>
              <w:bottom w:w="0" w:type="dxa"/>
            </w:tcMar>
            <w:vAlign w:val="center"/>
          </w:tcPr>
          <w:p w14:paraId="4F134F3D"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Plan 2023</w:t>
            </w:r>
          </w:p>
        </w:tc>
        <w:tc>
          <w:tcPr>
            <w:tcW w:w="671" w:type="pct"/>
            <w:shd w:val="clear" w:color="auto" w:fill="auto"/>
            <w:tcMar>
              <w:top w:w="0" w:type="dxa"/>
              <w:bottom w:w="0" w:type="dxa"/>
            </w:tcMar>
            <w:vAlign w:val="center"/>
          </w:tcPr>
          <w:p w14:paraId="32D3BD83"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Results 2023</w:t>
            </w:r>
          </w:p>
        </w:tc>
        <w:tc>
          <w:tcPr>
            <w:tcW w:w="671" w:type="pct"/>
            <w:shd w:val="clear" w:color="auto" w:fill="auto"/>
            <w:tcMar>
              <w:top w:w="0" w:type="dxa"/>
              <w:bottom w:w="0" w:type="dxa"/>
            </w:tcMar>
            <w:vAlign w:val="center"/>
          </w:tcPr>
          <w:p w14:paraId="001A2914" w14:textId="77777777" w:rsidR="00EB675E" w:rsidRPr="00814690" w:rsidRDefault="00E50C55"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 xml:space="preserve">Achieved compared to the </w:t>
            </w:r>
            <w:r w:rsidR="000A37AE" w:rsidRPr="00814690">
              <w:rPr>
                <w:rFonts w:ascii="Arial" w:hAnsi="Arial" w:cs="Arial"/>
                <w:color w:val="010000"/>
                <w:sz w:val="20"/>
              </w:rPr>
              <w:t>year’s plan</w:t>
            </w:r>
            <w:r w:rsidR="00E31B20" w:rsidRPr="00814690">
              <w:rPr>
                <w:rFonts w:ascii="Arial" w:hAnsi="Arial" w:cs="Arial"/>
                <w:color w:val="010000"/>
                <w:sz w:val="20"/>
              </w:rPr>
              <w:t xml:space="preserve"> (%)</w:t>
            </w:r>
          </w:p>
        </w:tc>
        <w:tc>
          <w:tcPr>
            <w:tcW w:w="675" w:type="pct"/>
            <w:shd w:val="clear" w:color="auto" w:fill="auto"/>
            <w:tcMar>
              <w:top w:w="0" w:type="dxa"/>
              <w:bottom w:w="0" w:type="dxa"/>
            </w:tcMar>
            <w:vAlign w:val="center"/>
          </w:tcPr>
          <w:p w14:paraId="06A6999E"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A</w:t>
            </w:r>
            <w:r w:rsidR="00E31B20" w:rsidRPr="00814690">
              <w:rPr>
                <w:rFonts w:ascii="Arial" w:hAnsi="Arial" w:cs="Arial"/>
                <w:color w:val="010000"/>
                <w:sz w:val="20"/>
              </w:rPr>
              <w:t>chieved compared to the previous year (%)</w:t>
            </w:r>
          </w:p>
        </w:tc>
      </w:tr>
      <w:tr w:rsidR="00E50C55" w:rsidRPr="00814690" w14:paraId="6A49DD04" w14:textId="77777777" w:rsidTr="009D1D78">
        <w:tc>
          <w:tcPr>
            <w:tcW w:w="303" w:type="pct"/>
            <w:shd w:val="clear" w:color="auto" w:fill="auto"/>
            <w:tcMar>
              <w:top w:w="0" w:type="dxa"/>
              <w:bottom w:w="0" w:type="dxa"/>
            </w:tcMar>
            <w:vAlign w:val="center"/>
          </w:tcPr>
          <w:p w14:paraId="3E4B5CB1"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w:t>
            </w:r>
          </w:p>
        </w:tc>
        <w:tc>
          <w:tcPr>
            <w:tcW w:w="1271" w:type="pct"/>
            <w:shd w:val="clear" w:color="auto" w:fill="auto"/>
            <w:tcMar>
              <w:top w:w="0" w:type="dxa"/>
              <w:bottom w:w="0" w:type="dxa"/>
            </w:tcMar>
            <w:vAlign w:val="center"/>
          </w:tcPr>
          <w:p w14:paraId="6C2FD49B"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Consolidated revenue</w:t>
            </w:r>
          </w:p>
        </w:tc>
        <w:tc>
          <w:tcPr>
            <w:tcW w:w="743" w:type="pct"/>
            <w:shd w:val="clear" w:color="auto" w:fill="auto"/>
            <w:tcMar>
              <w:top w:w="0" w:type="dxa"/>
              <w:bottom w:w="0" w:type="dxa"/>
            </w:tcMar>
            <w:vAlign w:val="center"/>
          </w:tcPr>
          <w:p w14:paraId="01FC2424"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17,077</w:t>
            </w:r>
          </w:p>
        </w:tc>
        <w:tc>
          <w:tcPr>
            <w:tcW w:w="666" w:type="pct"/>
            <w:shd w:val="clear" w:color="auto" w:fill="auto"/>
            <w:tcMar>
              <w:top w:w="0" w:type="dxa"/>
              <w:bottom w:w="0" w:type="dxa"/>
            </w:tcMar>
            <w:vAlign w:val="center"/>
          </w:tcPr>
          <w:p w14:paraId="410326DC"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13,200</w:t>
            </w:r>
          </w:p>
        </w:tc>
        <w:tc>
          <w:tcPr>
            <w:tcW w:w="671" w:type="pct"/>
            <w:shd w:val="clear" w:color="auto" w:fill="auto"/>
            <w:tcMar>
              <w:top w:w="0" w:type="dxa"/>
              <w:bottom w:w="0" w:type="dxa"/>
            </w:tcMar>
            <w:vAlign w:val="center"/>
          </w:tcPr>
          <w:p w14:paraId="30F69F17"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21,742</w:t>
            </w:r>
          </w:p>
        </w:tc>
        <w:tc>
          <w:tcPr>
            <w:tcW w:w="671" w:type="pct"/>
            <w:shd w:val="clear" w:color="auto" w:fill="auto"/>
            <w:tcMar>
              <w:top w:w="0" w:type="dxa"/>
              <w:bottom w:w="0" w:type="dxa"/>
            </w:tcMar>
            <w:vAlign w:val="center"/>
          </w:tcPr>
          <w:p w14:paraId="004205AF"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164.7%</w:t>
            </w:r>
          </w:p>
        </w:tc>
        <w:tc>
          <w:tcPr>
            <w:tcW w:w="675" w:type="pct"/>
            <w:shd w:val="clear" w:color="auto" w:fill="auto"/>
            <w:tcMar>
              <w:top w:w="0" w:type="dxa"/>
              <w:bottom w:w="0" w:type="dxa"/>
            </w:tcMar>
            <w:vAlign w:val="center"/>
          </w:tcPr>
          <w:p w14:paraId="7FE0B342"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127.3%</w:t>
            </w:r>
          </w:p>
        </w:tc>
      </w:tr>
      <w:tr w:rsidR="00E50C55" w:rsidRPr="00814690" w14:paraId="4FB92635" w14:textId="77777777" w:rsidTr="009D1D78">
        <w:tc>
          <w:tcPr>
            <w:tcW w:w="303" w:type="pct"/>
            <w:shd w:val="clear" w:color="auto" w:fill="auto"/>
            <w:tcMar>
              <w:top w:w="0" w:type="dxa"/>
              <w:bottom w:w="0" w:type="dxa"/>
            </w:tcMar>
            <w:vAlign w:val="center"/>
          </w:tcPr>
          <w:p w14:paraId="2EB0DC37"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2.</w:t>
            </w:r>
          </w:p>
        </w:tc>
        <w:tc>
          <w:tcPr>
            <w:tcW w:w="1271" w:type="pct"/>
            <w:shd w:val="clear" w:color="auto" w:fill="auto"/>
            <w:tcMar>
              <w:top w:w="0" w:type="dxa"/>
              <w:bottom w:w="0" w:type="dxa"/>
            </w:tcMar>
            <w:vAlign w:val="center"/>
          </w:tcPr>
          <w:p w14:paraId="51FCE3D3"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Profit before tax</w:t>
            </w:r>
          </w:p>
        </w:tc>
        <w:tc>
          <w:tcPr>
            <w:tcW w:w="743" w:type="pct"/>
            <w:shd w:val="clear" w:color="auto" w:fill="auto"/>
            <w:tcMar>
              <w:top w:w="0" w:type="dxa"/>
              <w:bottom w:w="0" w:type="dxa"/>
            </w:tcMar>
            <w:vAlign w:val="center"/>
          </w:tcPr>
          <w:p w14:paraId="6DBCF82E"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1,276</w:t>
            </w:r>
          </w:p>
        </w:tc>
        <w:tc>
          <w:tcPr>
            <w:tcW w:w="666" w:type="pct"/>
            <w:shd w:val="clear" w:color="auto" w:fill="auto"/>
            <w:tcMar>
              <w:top w:w="0" w:type="dxa"/>
              <w:bottom w:w="0" w:type="dxa"/>
            </w:tcMar>
            <w:vAlign w:val="center"/>
          </w:tcPr>
          <w:p w14:paraId="0589F773"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780</w:t>
            </w:r>
          </w:p>
        </w:tc>
        <w:tc>
          <w:tcPr>
            <w:tcW w:w="671" w:type="pct"/>
            <w:shd w:val="clear" w:color="auto" w:fill="auto"/>
            <w:tcMar>
              <w:top w:w="0" w:type="dxa"/>
              <w:bottom w:w="0" w:type="dxa"/>
            </w:tcMar>
            <w:vAlign w:val="center"/>
          </w:tcPr>
          <w:p w14:paraId="18E69846"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1,277</w:t>
            </w:r>
          </w:p>
        </w:tc>
        <w:tc>
          <w:tcPr>
            <w:tcW w:w="671" w:type="pct"/>
            <w:shd w:val="clear" w:color="auto" w:fill="auto"/>
            <w:tcMar>
              <w:top w:w="0" w:type="dxa"/>
              <w:bottom w:w="0" w:type="dxa"/>
            </w:tcMar>
            <w:vAlign w:val="center"/>
          </w:tcPr>
          <w:p w14:paraId="616C7052"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163.8%</w:t>
            </w:r>
          </w:p>
        </w:tc>
        <w:tc>
          <w:tcPr>
            <w:tcW w:w="675" w:type="pct"/>
            <w:shd w:val="clear" w:color="auto" w:fill="auto"/>
            <w:tcMar>
              <w:top w:w="0" w:type="dxa"/>
              <w:bottom w:w="0" w:type="dxa"/>
            </w:tcMar>
            <w:vAlign w:val="center"/>
          </w:tcPr>
          <w:p w14:paraId="181DF127"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100.1%</w:t>
            </w:r>
          </w:p>
        </w:tc>
      </w:tr>
      <w:tr w:rsidR="00E50C55" w:rsidRPr="00814690" w14:paraId="044FB559" w14:textId="77777777" w:rsidTr="009D1D78">
        <w:tc>
          <w:tcPr>
            <w:tcW w:w="303" w:type="pct"/>
            <w:shd w:val="clear" w:color="auto" w:fill="auto"/>
            <w:tcMar>
              <w:top w:w="0" w:type="dxa"/>
              <w:bottom w:w="0" w:type="dxa"/>
            </w:tcMar>
            <w:vAlign w:val="center"/>
          </w:tcPr>
          <w:p w14:paraId="0CFB8C35"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3.</w:t>
            </w:r>
          </w:p>
        </w:tc>
        <w:tc>
          <w:tcPr>
            <w:tcW w:w="1271" w:type="pct"/>
            <w:shd w:val="clear" w:color="auto" w:fill="auto"/>
            <w:tcMar>
              <w:top w:w="0" w:type="dxa"/>
              <w:bottom w:w="0" w:type="dxa"/>
            </w:tcMar>
            <w:vAlign w:val="center"/>
          </w:tcPr>
          <w:p w14:paraId="293E95A3"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Profit after tax</w:t>
            </w:r>
          </w:p>
        </w:tc>
        <w:tc>
          <w:tcPr>
            <w:tcW w:w="743" w:type="pct"/>
            <w:shd w:val="clear" w:color="auto" w:fill="auto"/>
            <w:tcMar>
              <w:top w:w="0" w:type="dxa"/>
              <w:bottom w:w="0" w:type="dxa"/>
            </w:tcMar>
            <w:vAlign w:val="center"/>
          </w:tcPr>
          <w:p w14:paraId="60FF5386"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1,051</w:t>
            </w:r>
          </w:p>
        </w:tc>
        <w:tc>
          <w:tcPr>
            <w:tcW w:w="666" w:type="pct"/>
            <w:shd w:val="clear" w:color="auto" w:fill="auto"/>
            <w:tcMar>
              <w:top w:w="0" w:type="dxa"/>
              <w:bottom w:w="0" w:type="dxa"/>
            </w:tcMar>
            <w:vAlign w:val="center"/>
          </w:tcPr>
          <w:p w14:paraId="3E341632"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560</w:t>
            </w:r>
          </w:p>
        </w:tc>
        <w:tc>
          <w:tcPr>
            <w:tcW w:w="671" w:type="pct"/>
            <w:shd w:val="clear" w:color="auto" w:fill="auto"/>
            <w:tcMar>
              <w:top w:w="0" w:type="dxa"/>
              <w:bottom w:w="0" w:type="dxa"/>
            </w:tcMar>
            <w:vAlign w:val="center"/>
          </w:tcPr>
          <w:p w14:paraId="6F443FD2"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1,060</w:t>
            </w:r>
          </w:p>
        </w:tc>
        <w:tc>
          <w:tcPr>
            <w:tcW w:w="671" w:type="pct"/>
            <w:shd w:val="clear" w:color="auto" w:fill="auto"/>
            <w:tcMar>
              <w:top w:w="0" w:type="dxa"/>
              <w:bottom w:w="0" w:type="dxa"/>
            </w:tcMar>
            <w:vAlign w:val="center"/>
          </w:tcPr>
          <w:p w14:paraId="28515C51"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189.3%</w:t>
            </w:r>
          </w:p>
        </w:tc>
        <w:tc>
          <w:tcPr>
            <w:tcW w:w="675" w:type="pct"/>
            <w:shd w:val="clear" w:color="auto" w:fill="auto"/>
            <w:tcMar>
              <w:top w:w="0" w:type="dxa"/>
              <w:bottom w:w="0" w:type="dxa"/>
            </w:tcMar>
            <w:vAlign w:val="center"/>
          </w:tcPr>
          <w:p w14:paraId="544F612C"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100.9%</w:t>
            </w:r>
          </w:p>
        </w:tc>
      </w:tr>
      <w:tr w:rsidR="00E50C55" w:rsidRPr="00814690" w14:paraId="35199ECA" w14:textId="77777777" w:rsidTr="009D1D78">
        <w:tc>
          <w:tcPr>
            <w:tcW w:w="303" w:type="pct"/>
            <w:shd w:val="clear" w:color="auto" w:fill="auto"/>
            <w:tcMar>
              <w:top w:w="0" w:type="dxa"/>
              <w:bottom w:w="0" w:type="dxa"/>
            </w:tcMar>
            <w:vAlign w:val="center"/>
          </w:tcPr>
          <w:p w14:paraId="00ECBB14"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4.</w:t>
            </w:r>
          </w:p>
        </w:tc>
        <w:tc>
          <w:tcPr>
            <w:tcW w:w="1271" w:type="pct"/>
            <w:shd w:val="clear" w:color="auto" w:fill="auto"/>
            <w:tcMar>
              <w:top w:w="0" w:type="dxa"/>
              <w:bottom w:w="0" w:type="dxa"/>
            </w:tcMar>
            <w:vAlign w:val="center"/>
          </w:tcPr>
          <w:p w14:paraId="14D19408"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Taxes and other arising payables to the State budget</w:t>
            </w:r>
          </w:p>
        </w:tc>
        <w:tc>
          <w:tcPr>
            <w:tcW w:w="743" w:type="pct"/>
            <w:shd w:val="clear" w:color="auto" w:fill="auto"/>
            <w:tcMar>
              <w:top w:w="0" w:type="dxa"/>
              <w:bottom w:w="0" w:type="dxa"/>
            </w:tcMar>
            <w:vAlign w:val="center"/>
          </w:tcPr>
          <w:p w14:paraId="4728BF5D"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616</w:t>
            </w:r>
          </w:p>
        </w:tc>
        <w:tc>
          <w:tcPr>
            <w:tcW w:w="666" w:type="pct"/>
            <w:shd w:val="clear" w:color="auto" w:fill="auto"/>
            <w:tcMar>
              <w:top w:w="0" w:type="dxa"/>
              <w:bottom w:w="0" w:type="dxa"/>
            </w:tcMar>
            <w:vAlign w:val="center"/>
          </w:tcPr>
          <w:p w14:paraId="01422A91"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580</w:t>
            </w:r>
          </w:p>
        </w:tc>
        <w:tc>
          <w:tcPr>
            <w:tcW w:w="671" w:type="pct"/>
            <w:shd w:val="clear" w:color="auto" w:fill="auto"/>
            <w:tcMar>
              <w:top w:w="0" w:type="dxa"/>
              <w:bottom w:w="0" w:type="dxa"/>
            </w:tcMar>
            <w:vAlign w:val="center"/>
          </w:tcPr>
          <w:p w14:paraId="6267BB50"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843</w:t>
            </w:r>
          </w:p>
        </w:tc>
        <w:tc>
          <w:tcPr>
            <w:tcW w:w="671" w:type="pct"/>
            <w:shd w:val="clear" w:color="auto" w:fill="auto"/>
            <w:tcMar>
              <w:top w:w="0" w:type="dxa"/>
              <w:bottom w:w="0" w:type="dxa"/>
            </w:tcMar>
            <w:vAlign w:val="center"/>
          </w:tcPr>
          <w:p w14:paraId="4089E692"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145.4%</w:t>
            </w:r>
          </w:p>
        </w:tc>
        <w:tc>
          <w:tcPr>
            <w:tcW w:w="675" w:type="pct"/>
            <w:shd w:val="clear" w:color="auto" w:fill="auto"/>
            <w:tcMar>
              <w:top w:w="0" w:type="dxa"/>
              <w:bottom w:w="0" w:type="dxa"/>
            </w:tcMar>
            <w:vAlign w:val="center"/>
          </w:tcPr>
          <w:p w14:paraId="055F53AC"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136.9%</w:t>
            </w:r>
          </w:p>
        </w:tc>
      </w:tr>
    </w:tbl>
    <w:p w14:paraId="32ED72CA" w14:textId="77777777" w:rsidR="00EB675E" w:rsidRPr="00814690" w:rsidRDefault="004C2BB8" w:rsidP="00C94BD4">
      <w:pPr>
        <w:numPr>
          <w:ilvl w:val="0"/>
          <w:numId w:val="11"/>
        </w:numPr>
        <w:pBdr>
          <w:top w:val="nil"/>
          <w:left w:val="nil"/>
          <w:bottom w:val="nil"/>
          <w:right w:val="nil"/>
          <w:between w:val="nil"/>
        </w:pBdr>
        <w:tabs>
          <w:tab w:val="left" w:pos="432"/>
          <w:tab w:val="left" w:pos="10277"/>
        </w:tabs>
        <w:spacing w:after="120" w:line="360" w:lineRule="auto"/>
        <w:ind w:left="0" w:firstLine="0"/>
        <w:jc w:val="both"/>
        <w:rPr>
          <w:rFonts w:ascii="Arial" w:eastAsia="Arial" w:hAnsi="Arial" w:cs="Arial"/>
          <w:color w:val="010000"/>
          <w:sz w:val="20"/>
          <w:szCs w:val="20"/>
        </w:rPr>
      </w:pPr>
      <w:r w:rsidRPr="00814690">
        <w:rPr>
          <w:rFonts w:ascii="Arial" w:hAnsi="Arial" w:cs="Arial"/>
          <w:color w:val="010000"/>
          <w:sz w:val="20"/>
        </w:rPr>
        <w:t xml:space="preserve">Production and business </w:t>
      </w:r>
      <w:r w:rsidR="000A37AE" w:rsidRPr="00814690">
        <w:rPr>
          <w:rFonts w:ascii="Arial" w:hAnsi="Arial" w:cs="Arial"/>
          <w:color w:val="010000"/>
          <w:sz w:val="20"/>
        </w:rPr>
        <w:t>targets</w:t>
      </w:r>
      <w:r w:rsidRPr="00814690">
        <w:rPr>
          <w:rFonts w:ascii="Arial" w:hAnsi="Arial" w:cs="Arial"/>
          <w:color w:val="010000"/>
          <w:sz w:val="20"/>
        </w:rPr>
        <w:t xml:space="preserve"> of the Holding Company - Petro Vietnam Technical Services Corporation</w:t>
      </w:r>
    </w:p>
    <w:p w14:paraId="5A598D31"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 xml:space="preserve"> Unit: Billion VND</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4"/>
        <w:gridCol w:w="2331"/>
        <w:gridCol w:w="1221"/>
        <w:gridCol w:w="1225"/>
        <w:gridCol w:w="1234"/>
        <w:gridCol w:w="1230"/>
        <w:gridCol w:w="1234"/>
      </w:tblGrid>
      <w:tr w:rsidR="00E31B20" w:rsidRPr="00814690" w14:paraId="31A298F0" w14:textId="77777777" w:rsidTr="009D1D78">
        <w:tc>
          <w:tcPr>
            <w:tcW w:w="302" w:type="pct"/>
            <w:shd w:val="clear" w:color="auto" w:fill="auto"/>
            <w:tcMar>
              <w:top w:w="0" w:type="dxa"/>
              <w:bottom w:w="0" w:type="dxa"/>
            </w:tcMar>
            <w:vAlign w:val="center"/>
          </w:tcPr>
          <w:p w14:paraId="388A7A86"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 xml:space="preserve">No. </w:t>
            </w:r>
          </w:p>
        </w:tc>
        <w:tc>
          <w:tcPr>
            <w:tcW w:w="1292" w:type="pct"/>
            <w:shd w:val="clear" w:color="auto" w:fill="auto"/>
            <w:tcMar>
              <w:top w:w="0" w:type="dxa"/>
              <w:bottom w:w="0" w:type="dxa"/>
            </w:tcMar>
            <w:vAlign w:val="center"/>
          </w:tcPr>
          <w:p w14:paraId="338B4BD5"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Targets</w:t>
            </w:r>
          </w:p>
        </w:tc>
        <w:tc>
          <w:tcPr>
            <w:tcW w:w="677" w:type="pct"/>
            <w:shd w:val="clear" w:color="auto" w:fill="auto"/>
            <w:tcMar>
              <w:top w:w="0" w:type="dxa"/>
              <w:bottom w:w="0" w:type="dxa"/>
            </w:tcMar>
            <w:vAlign w:val="center"/>
          </w:tcPr>
          <w:p w14:paraId="01E90C77"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Results 2022</w:t>
            </w:r>
          </w:p>
        </w:tc>
        <w:tc>
          <w:tcPr>
            <w:tcW w:w="679" w:type="pct"/>
            <w:shd w:val="clear" w:color="auto" w:fill="auto"/>
            <w:tcMar>
              <w:top w:w="0" w:type="dxa"/>
              <w:bottom w:w="0" w:type="dxa"/>
            </w:tcMar>
            <w:vAlign w:val="center"/>
          </w:tcPr>
          <w:p w14:paraId="648FDBCA"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Plan 2023</w:t>
            </w:r>
          </w:p>
        </w:tc>
        <w:tc>
          <w:tcPr>
            <w:tcW w:w="684" w:type="pct"/>
            <w:shd w:val="clear" w:color="auto" w:fill="auto"/>
            <w:tcMar>
              <w:top w:w="0" w:type="dxa"/>
              <w:bottom w:w="0" w:type="dxa"/>
            </w:tcMar>
            <w:vAlign w:val="center"/>
          </w:tcPr>
          <w:p w14:paraId="7DEFB4D0"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Results 2023</w:t>
            </w:r>
          </w:p>
        </w:tc>
        <w:tc>
          <w:tcPr>
            <w:tcW w:w="682" w:type="pct"/>
            <w:shd w:val="clear" w:color="auto" w:fill="auto"/>
            <w:tcMar>
              <w:top w:w="0" w:type="dxa"/>
              <w:bottom w:w="0" w:type="dxa"/>
            </w:tcMar>
            <w:vAlign w:val="center"/>
          </w:tcPr>
          <w:p w14:paraId="6FF89E00"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Achieved compared to the year’s plan (%)</w:t>
            </w:r>
          </w:p>
        </w:tc>
        <w:tc>
          <w:tcPr>
            <w:tcW w:w="684" w:type="pct"/>
            <w:shd w:val="clear" w:color="auto" w:fill="auto"/>
            <w:tcMar>
              <w:top w:w="0" w:type="dxa"/>
              <w:bottom w:w="0" w:type="dxa"/>
            </w:tcMar>
            <w:vAlign w:val="center"/>
          </w:tcPr>
          <w:p w14:paraId="2FD24B61"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Achieved compared to the previous year (%)</w:t>
            </w:r>
          </w:p>
        </w:tc>
      </w:tr>
      <w:tr w:rsidR="00E31B20" w:rsidRPr="00814690" w14:paraId="06C4EF8B" w14:textId="77777777" w:rsidTr="009D1D78">
        <w:tc>
          <w:tcPr>
            <w:tcW w:w="302" w:type="pct"/>
            <w:shd w:val="clear" w:color="auto" w:fill="auto"/>
            <w:tcMar>
              <w:top w:w="0" w:type="dxa"/>
              <w:bottom w:w="0" w:type="dxa"/>
            </w:tcMar>
            <w:vAlign w:val="center"/>
          </w:tcPr>
          <w:p w14:paraId="45D1FAB7"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w:t>
            </w:r>
          </w:p>
        </w:tc>
        <w:tc>
          <w:tcPr>
            <w:tcW w:w="1292" w:type="pct"/>
            <w:shd w:val="clear" w:color="auto" w:fill="auto"/>
            <w:tcMar>
              <w:top w:w="0" w:type="dxa"/>
              <w:bottom w:w="0" w:type="dxa"/>
            </w:tcMar>
            <w:vAlign w:val="center"/>
          </w:tcPr>
          <w:p w14:paraId="238C1BEB"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Charter capital</w:t>
            </w:r>
          </w:p>
        </w:tc>
        <w:tc>
          <w:tcPr>
            <w:tcW w:w="677" w:type="pct"/>
            <w:shd w:val="clear" w:color="auto" w:fill="auto"/>
            <w:tcMar>
              <w:top w:w="0" w:type="dxa"/>
              <w:bottom w:w="0" w:type="dxa"/>
            </w:tcMar>
            <w:vAlign w:val="center"/>
          </w:tcPr>
          <w:p w14:paraId="5117CD41"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4,780</w:t>
            </w:r>
          </w:p>
        </w:tc>
        <w:tc>
          <w:tcPr>
            <w:tcW w:w="679" w:type="pct"/>
            <w:shd w:val="clear" w:color="auto" w:fill="auto"/>
            <w:tcMar>
              <w:top w:w="0" w:type="dxa"/>
              <w:bottom w:w="0" w:type="dxa"/>
            </w:tcMar>
            <w:vAlign w:val="center"/>
          </w:tcPr>
          <w:p w14:paraId="192A0A03"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4,780</w:t>
            </w:r>
          </w:p>
        </w:tc>
        <w:tc>
          <w:tcPr>
            <w:tcW w:w="684" w:type="pct"/>
            <w:shd w:val="clear" w:color="auto" w:fill="auto"/>
            <w:tcMar>
              <w:top w:w="0" w:type="dxa"/>
              <w:bottom w:w="0" w:type="dxa"/>
            </w:tcMar>
            <w:vAlign w:val="center"/>
          </w:tcPr>
          <w:p w14:paraId="7CCECEEE"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4,780</w:t>
            </w:r>
          </w:p>
        </w:tc>
        <w:tc>
          <w:tcPr>
            <w:tcW w:w="682" w:type="pct"/>
            <w:shd w:val="clear" w:color="auto" w:fill="auto"/>
            <w:tcMar>
              <w:top w:w="0" w:type="dxa"/>
              <w:bottom w:w="0" w:type="dxa"/>
            </w:tcMar>
            <w:vAlign w:val="center"/>
          </w:tcPr>
          <w:p w14:paraId="24E5895B"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100.0%</w:t>
            </w:r>
          </w:p>
        </w:tc>
        <w:tc>
          <w:tcPr>
            <w:tcW w:w="684" w:type="pct"/>
            <w:shd w:val="clear" w:color="auto" w:fill="auto"/>
            <w:tcMar>
              <w:top w:w="0" w:type="dxa"/>
              <w:bottom w:w="0" w:type="dxa"/>
            </w:tcMar>
            <w:vAlign w:val="center"/>
          </w:tcPr>
          <w:p w14:paraId="14D33C81"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100.0%</w:t>
            </w:r>
          </w:p>
        </w:tc>
      </w:tr>
      <w:tr w:rsidR="00E31B20" w:rsidRPr="00814690" w14:paraId="6F08638D" w14:textId="77777777" w:rsidTr="009D1D78">
        <w:tc>
          <w:tcPr>
            <w:tcW w:w="302" w:type="pct"/>
            <w:shd w:val="clear" w:color="auto" w:fill="auto"/>
            <w:tcMar>
              <w:top w:w="0" w:type="dxa"/>
              <w:bottom w:w="0" w:type="dxa"/>
            </w:tcMar>
            <w:vAlign w:val="center"/>
          </w:tcPr>
          <w:p w14:paraId="4C265055"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2.</w:t>
            </w:r>
          </w:p>
        </w:tc>
        <w:tc>
          <w:tcPr>
            <w:tcW w:w="1292" w:type="pct"/>
            <w:shd w:val="clear" w:color="auto" w:fill="auto"/>
            <w:tcMar>
              <w:top w:w="0" w:type="dxa"/>
              <w:bottom w:w="0" w:type="dxa"/>
            </w:tcMar>
            <w:vAlign w:val="center"/>
          </w:tcPr>
          <w:p w14:paraId="74E4A67E"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Revenue</w:t>
            </w:r>
          </w:p>
        </w:tc>
        <w:tc>
          <w:tcPr>
            <w:tcW w:w="677" w:type="pct"/>
            <w:shd w:val="clear" w:color="auto" w:fill="auto"/>
            <w:tcMar>
              <w:top w:w="0" w:type="dxa"/>
              <w:bottom w:w="0" w:type="dxa"/>
            </w:tcMar>
            <w:vAlign w:val="center"/>
          </w:tcPr>
          <w:p w14:paraId="02D412E8"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6,882</w:t>
            </w:r>
          </w:p>
        </w:tc>
        <w:tc>
          <w:tcPr>
            <w:tcW w:w="679" w:type="pct"/>
            <w:shd w:val="clear" w:color="auto" w:fill="auto"/>
            <w:tcMar>
              <w:top w:w="0" w:type="dxa"/>
              <w:bottom w:w="0" w:type="dxa"/>
            </w:tcMar>
            <w:vAlign w:val="center"/>
          </w:tcPr>
          <w:p w14:paraId="1CE60DBF"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5,300</w:t>
            </w:r>
          </w:p>
        </w:tc>
        <w:tc>
          <w:tcPr>
            <w:tcW w:w="684" w:type="pct"/>
            <w:shd w:val="clear" w:color="auto" w:fill="auto"/>
            <w:tcMar>
              <w:top w:w="0" w:type="dxa"/>
              <w:bottom w:w="0" w:type="dxa"/>
            </w:tcMar>
            <w:vAlign w:val="center"/>
          </w:tcPr>
          <w:p w14:paraId="40AA2C75"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11,334</w:t>
            </w:r>
          </w:p>
        </w:tc>
        <w:tc>
          <w:tcPr>
            <w:tcW w:w="682" w:type="pct"/>
            <w:shd w:val="clear" w:color="auto" w:fill="auto"/>
            <w:tcMar>
              <w:top w:w="0" w:type="dxa"/>
              <w:bottom w:w="0" w:type="dxa"/>
            </w:tcMar>
            <w:vAlign w:val="center"/>
          </w:tcPr>
          <w:p w14:paraId="5B786DB4"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213.8%</w:t>
            </w:r>
          </w:p>
        </w:tc>
        <w:tc>
          <w:tcPr>
            <w:tcW w:w="684" w:type="pct"/>
            <w:shd w:val="clear" w:color="auto" w:fill="auto"/>
            <w:tcMar>
              <w:top w:w="0" w:type="dxa"/>
              <w:bottom w:w="0" w:type="dxa"/>
            </w:tcMar>
            <w:vAlign w:val="center"/>
          </w:tcPr>
          <w:p w14:paraId="36156D21"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164.7%</w:t>
            </w:r>
          </w:p>
        </w:tc>
      </w:tr>
      <w:tr w:rsidR="00E31B20" w:rsidRPr="00814690" w14:paraId="6E028B58" w14:textId="77777777" w:rsidTr="009D1D78">
        <w:tc>
          <w:tcPr>
            <w:tcW w:w="302" w:type="pct"/>
            <w:shd w:val="clear" w:color="auto" w:fill="auto"/>
            <w:tcMar>
              <w:top w:w="0" w:type="dxa"/>
              <w:bottom w:w="0" w:type="dxa"/>
            </w:tcMar>
            <w:vAlign w:val="center"/>
          </w:tcPr>
          <w:p w14:paraId="2FE00CE3"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3.</w:t>
            </w:r>
          </w:p>
        </w:tc>
        <w:tc>
          <w:tcPr>
            <w:tcW w:w="1292" w:type="pct"/>
            <w:shd w:val="clear" w:color="auto" w:fill="auto"/>
            <w:tcMar>
              <w:top w:w="0" w:type="dxa"/>
              <w:bottom w:w="0" w:type="dxa"/>
            </w:tcMar>
            <w:vAlign w:val="center"/>
          </w:tcPr>
          <w:p w14:paraId="415B3343"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Profit before tax</w:t>
            </w:r>
          </w:p>
        </w:tc>
        <w:tc>
          <w:tcPr>
            <w:tcW w:w="677" w:type="pct"/>
            <w:shd w:val="clear" w:color="auto" w:fill="auto"/>
            <w:tcMar>
              <w:top w:w="0" w:type="dxa"/>
              <w:bottom w:w="0" w:type="dxa"/>
            </w:tcMar>
            <w:vAlign w:val="center"/>
          </w:tcPr>
          <w:p w14:paraId="62CA602A"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906</w:t>
            </w:r>
          </w:p>
        </w:tc>
        <w:tc>
          <w:tcPr>
            <w:tcW w:w="679" w:type="pct"/>
            <w:shd w:val="clear" w:color="auto" w:fill="auto"/>
            <w:tcMar>
              <w:top w:w="0" w:type="dxa"/>
              <w:bottom w:w="0" w:type="dxa"/>
            </w:tcMar>
            <w:vAlign w:val="center"/>
          </w:tcPr>
          <w:p w14:paraId="08D80866"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610</w:t>
            </w:r>
          </w:p>
        </w:tc>
        <w:tc>
          <w:tcPr>
            <w:tcW w:w="684" w:type="pct"/>
            <w:shd w:val="clear" w:color="auto" w:fill="auto"/>
            <w:tcMar>
              <w:top w:w="0" w:type="dxa"/>
              <w:bottom w:w="0" w:type="dxa"/>
            </w:tcMar>
            <w:vAlign w:val="center"/>
          </w:tcPr>
          <w:p w14:paraId="62C6DC10"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1,287</w:t>
            </w:r>
          </w:p>
        </w:tc>
        <w:tc>
          <w:tcPr>
            <w:tcW w:w="682" w:type="pct"/>
            <w:shd w:val="clear" w:color="auto" w:fill="auto"/>
            <w:tcMar>
              <w:top w:w="0" w:type="dxa"/>
              <w:bottom w:w="0" w:type="dxa"/>
            </w:tcMar>
            <w:vAlign w:val="center"/>
          </w:tcPr>
          <w:p w14:paraId="01F535B2"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211.0%</w:t>
            </w:r>
          </w:p>
        </w:tc>
        <w:tc>
          <w:tcPr>
            <w:tcW w:w="684" w:type="pct"/>
            <w:shd w:val="clear" w:color="auto" w:fill="auto"/>
            <w:tcMar>
              <w:top w:w="0" w:type="dxa"/>
              <w:bottom w:w="0" w:type="dxa"/>
            </w:tcMar>
            <w:vAlign w:val="center"/>
          </w:tcPr>
          <w:p w14:paraId="3719A603"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142.0%</w:t>
            </w:r>
          </w:p>
        </w:tc>
      </w:tr>
      <w:tr w:rsidR="00E31B20" w:rsidRPr="00814690" w14:paraId="7AF77059" w14:textId="77777777" w:rsidTr="009D1D78">
        <w:tc>
          <w:tcPr>
            <w:tcW w:w="302" w:type="pct"/>
            <w:shd w:val="clear" w:color="auto" w:fill="auto"/>
            <w:tcMar>
              <w:top w:w="0" w:type="dxa"/>
              <w:bottom w:w="0" w:type="dxa"/>
            </w:tcMar>
            <w:vAlign w:val="center"/>
          </w:tcPr>
          <w:p w14:paraId="72A8A008"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4.</w:t>
            </w:r>
          </w:p>
        </w:tc>
        <w:tc>
          <w:tcPr>
            <w:tcW w:w="1292" w:type="pct"/>
            <w:shd w:val="clear" w:color="auto" w:fill="auto"/>
            <w:tcMar>
              <w:top w:w="0" w:type="dxa"/>
              <w:bottom w:w="0" w:type="dxa"/>
            </w:tcMar>
            <w:vAlign w:val="center"/>
          </w:tcPr>
          <w:p w14:paraId="4A1056DB"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Profit after tax</w:t>
            </w:r>
          </w:p>
        </w:tc>
        <w:tc>
          <w:tcPr>
            <w:tcW w:w="677" w:type="pct"/>
            <w:shd w:val="clear" w:color="auto" w:fill="auto"/>
            <w:tcMar>
              <w:top w:w="0" w:type="dxa"/>
              <w:bottom w:w="0" w:type="dxa"/>
            </w:tcMar>
            <w:vAlign w:val="center"/>
          </w:tcPr>
          <w:p w14:paraId="6FE0E473"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725</w:t>
            </w:r>
          </w:p>
        </w:tc>
        <w:tc>
          <w:tcPr>
            <w:tcW w:w="679" w:type="pct"/>
            <w:shd w:val="clear" w:color="auto" w:fill="auto"/>
            <w:tcMar>
              <w:top w:w="0" w:type="dxa"/>
              <w:bottom w:w="0" w:type="dxa"/>
            </w:tcMar>
            <w:vAlign w:val="center"/>
          </w:tcPr>
          <w:p w14:paraId="21A90844"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430</w:t>
            </w:r>
          </w:p>
        </w:tc>
        <w:tc>
          <w:tcPr>
            <w:tcW w:w="684" w:type="pct"/>
            <w:shd w:val="clear" w:color="auto" w:fill="auto"/>
            <w:tcMar>
              <w:top w:w="0" w:type="dxa"/>
              <w:bottom w:w="0" w:type="dxa"/>
            </w:tcMar>
            <w:vAlign w:val="center"/>
          </w:tcPr>
          <w:p w14:paraId="6CAECF2C"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1,123</w:t>
            </w:r>
          </w:p>
        </w:tc>
        <w:tc>
          <w:tcPr>
            <w:tcW w:w="682" w:type="pct"/>
            <w:shd w:val="clear" w:color="auto" w:fill="auto"/>
            <w:tcMar>
              <w:top w:w="0" w:type="dxa"/>
              <w:bottom w:w="0" w:type="dxa"/>
            </w:tcMar>
            <w:vAlign w:val="center"/>
          </w:tcPr>
          <w:p w14:paraId="094ECD37"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261.2%</w:t>
            </w:r>
          </w:p>
        </w:tc>
        <w:tc>
          <w:tcPr>
            <w:tcW w:w="684" w:type="pct"/>
            <w:shd w:val="clear" w:color="auto" w:fill="auto"/>
            <w:tcMar>
              <w:top w:w="0" w:type="dxa"/>
              <w:bottom w:w="0" w:type="dxa"/>
            </w:tcMar>
            <w:vAlign w:val="center"/>
          </w:tcPr>
          <w:p w14:paraId="2F235EC5"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154.9%</w:t>
            </w:r>
          </w:p>
        </w:tc>
      </w:tr>
      <w:tr w:rsidR="00E31B20" w:rsidRPr="00814690" w14:paraId="0DA1390A" w14:textId="77777777" w:rsidTr="009D1D78">
        <w:tc>
          <w:tcPr>
            <w:tcW w:w="302" w:type="pct"/>
            <w:shd w:val="clear" w:color="auto" w:fill="auto"/>
            <w:tcMar>
              <w:top w:w="0" w:type="dxa"/>
              <w:bottom w:w="0" w:type="dxa"/>
            </w:tcMar>
            <w:vAlign w:val="center"/>
          </w:tcPr>
          <w:p w14:paraId="019DFCCC"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5.</w:t>
            </w:r>
          </w:p>
        </w:tc>
        <w:tc>
          <w:tcPr>
            <w:tcW w:w="1292" w:type="pct"/>
            <w:shd w:val="clear" w:color="auto" w:fill="auto"/>
            <w:tcMar>
              <w:top w:w="0" w:type="dxa"/>
              <w:bottom w:w="0" w:type="dxa"/>
            </w:tcMar>
            <w:vAlign w:val="center"/>
          </w:tcPr>
          <w:p w14:paraId="24F7D855"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Rate of profit after tax/Charter capital</w:t>
            </w:r>
          </w:p>
        </w:tc>
        <w:tc>
          <w:tcPr>
            <w:tcW w:w="677" w:type="pct"/>
            <w:shd w:val="clear" w:color="auto" w:fill="auto"/>
            <w:tcMar>
              <w:top w:w="0" w:type="dxa"/>
              <w:bottom w:w="0" w:type="dxa"/>
            </w:tcMar>
            <w:vAlign w:val="center"/>
          </w:tcPr>
          <w:p w14:paraId="5332ED86"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15.17%</w:t>
            </w:r>
          </w:p>
        </w:tc>
        <w:tc>
          <w:tcPr>
            <w:tcW w:w="679" w:type="pct"/>
            <w:shd w:val="clear" w:color="auto" w:fill="auto"/>
            <w:tcMar>
              <w:top w:w="0" w:type="dxa"/>
              <w:bottom w:w="0" w:type="dxa"/>
            </w:tcMar>
            <w:vAlign w:val="center"/>
          </w:tcPr>
          <w:p w14:paraId="63CF1F4E"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9.00%</w:t>
            </w:r>
          </w:p>
        </w:tc>
        <w:tc>
          <w:tcPr>
            <w:tcW w:w="684" w:type="pct"/>
            <w:shd w:val="clear" w:color="auto" w:fill="auto"/>
            <w:tcMar>
              <w:top w:w="0" w:type="dxa"/>
              <w:bottom w:w="0" w:type="dxa"/>
            </w:tcMar>
            <w:vAlign w:val="center"/>
          </w:tcPr>
          <w:p w14:paraId="1BF0F1F8"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23.50%</w:t>
            </w:r>
          </w:p>
        </w:tc>
        <w:tc>
          <w:tcPr>
            <w:tcW w:w="682" w:type="pct"/>
            <w:shd w:val="clear" w:color="auto" w:fill="auto"/>
            <w:tcMar>
              <w:top w:w="0" w:type="dxa"/>
              <w:bottom w:w="0" w:type="dxa"/>
            </w:tcMar>
            <w:vAlign w:val="center"/>
          </w:tcPr>
          <w:p w14:paraId="057F6986"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261.2%</w:t>
            </w:r>
          </w:p>
        </w:tc>
        <w:tc>
          <w:tcPr>
            <w:tcW w:w="684" w:type="pct"/>
            <w:shd w:val="clear" w:color="auto" w:fill="auto"/>
            <w:tcMar>
              <w:top w:w="0" w:type="dxa"/>
              <w:bottom w:w="0" w:type="dxa"/>
            </w:tcMar>
            <w:vAlign w:val="center"/>
          </w:tcPr>
          <w:p w14:paraId="03FFF687"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154.9%</w:t>
            </w:r>
          </w:p>
        </w:tc>
      </w:tr>
      <w:tr w:rsidR="00E31B20" w:rsidRPr="00814690" w14:paraId="5855FB8A" w14:textId="77777777" w:rsidTr="009D1D78">
        <w:tc>
          <w:tcPr>
            <w:tcW w:w="302" w:type="pct"/>
            <w:shd w:val="clear" w:color="auto" w:fill="auto"/>
            <w:tcMar>
              <w:top w:w="0" w:type="dxa"/>
              <w:bottom w:w="0" w:type="dxa"/>
            </w:tcMar>
            <w:vAlign w:val="center"/>
          </w:tcPr>
          <w:p w14:paraId="7D15FD9C"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6.</w:t>
            </w:r>
          </w:p>
        </w:tc>
        <w:tc>
          <w:tcPr>
            <w:tcW w:w="1292" w:type="pct"/>
            <w:shd w:val="clear" w:color="auto" w:fill="auto"/>
            <w:tcMar>
              <w:top w:w="0" w:type="dxa"/>
              <w:bottom w:w="0" w:type="dxa"/>
            </w:tcMar>
            <w:vAlign w:val="center"/>
          </w:tcPr>
          <w:p w14:paraId="4FAF46BA"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 xml:space="preserve">Taxes and other arising payables to the State </w:t>
            </w:r>
            <w:r w:rsidRPr="00814690">
              <w:rPr>
                <w:rFonts w:ascii="Arial" w:hAnsi="Arial" w:cs="Arial"/>
                <w:color w:val="010000"/>
                <w:sz w:val="20"/>
              </w:rPr>
              <w:lastRenderedPageBreak/>
              <w:t>budget</w:t>
            </w:r>
          </w:p>
        </w:tc>
        <w:tc>
          <w:tcPr>
            <w:tcW w:w="677" w:type="pct"/>
            <w:shd w:val="clear" w:color="auto" w:fill="auto"/>
            <w:tcMar>
              <w:top w:w="0" w:type="dxa"/>
              <w:bottom w:w="0" w:type="dxa"/>
            </w:tcMar>
            <w:vAlign w:val="center"/>
          </w:tcPr>
          <w:p w14:paraId="12392D8E"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lastRenderedPageBreak/>
              <w:t>361</w:t>
            </w:r>
          </w:p>
        </w:tc>
        <w:tc>
          <w:tcPr>
            <w:tcW w:w="679" w:type="pct"/>
            <w:shd w:val="clear" w:color="auto" w:fill="auto"/>
            <w:tcMar>
              <w:top w:w="0" w:type="dxa"/>
              <w:bottom w:w="0" w:type="dxa"/>
            </w:tcMar>
            <w:vAlign w:val="center"/>
          </w:tcPr>
          <w:p w14:paraId="36956E36"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310</w:t>
            </w:r>
          </w:p>
        </w:tc>
        <w:tc>
          <w:tcPr>
            <w:tcW w:w="684" w:type="pct"/>
            <w:shd w:val="clear" w:color="auto" w:fill="auto"/>
            <w:tcMar>
              <w:top w:w="0" w:type="dxa"/>
              <w:bottom w:w="0" w:type="dxa"/>
            </w:tcMar>
            <w:vAlign w:val="center"/>
          </w:tcPr>
          <w:p w14:paraId="1DB1EE5A"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513</w:t>
            </w:r>
          </w:p>
        </w:tc>
        <w:tc>
          <w:tcPr>
            <w:tcW w:w="682" w:type="pct"/>
            <w:shd w:val="clear" w:color="auto" w:fill="auto"/>
            <w:tcMar>
              <w:top w:w="0" w:type="dxa"/>
              <w:bottom w:w="0" w:type="dxa"/>
            </w:tcMar>
            <w:vAlign w:val="center"/>
          </w:tcPr>
          <w:p w14:paraId="4E11B947"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165.5%</w:t>
            </w:r>
          </w:p>
        </w:tc>
        <w:tc>
          <w:tcPr>
            <w:tcW w:w="684" w:type="pct"/>
            <w:shd w:val="clear" w:color="auto" w:fill="auto"/>
            <w:tcMar>
              <w:top w:w="0" w:type="dxa"/>
              <w:bottom w:w="0" w:type="dxa"/>
            </w:tcMar>
            <w:vAlign w:val="center"/>
          </w:tcPr>
          <w:p w14:paraId="18FDB6AE"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142.0%</w:t>
            </w:r>
          </w:p>
        </w:tc>
      </w:tr>
      <w:tr w:rsidR="00E31B20" w:rsidRPr="00814690" w14:paraId="5DAE6543" w14:textId="77777777" w:rsidTr="009D1D78">
        <w:tc>
          <w:tcPr>
            <w:tcW w:w="302" w:type="pct"/>
            <w:shd w:val="clear" w:color="auto" w:fill="auto"/>
            <w:tcMar>
              <w:top w:w="0" w:type="dxa"/>
              <w:bottom w:w="0" w:type="dxa"/>
            </w:tcMar>
            <w:vAlign w:val="center"/>
          </w:tcPr>
          <w:p w14:paraId="759FBE29"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lastRenderedPageBreak/>
              <w:t>7.</w:t>
            </w:r>
          </w:p>
        </w:tc>
        <w:tc>
          <w:tcPr>
            <w:tcW w:w="1292" w:type="pct"/>
            <w:shd w:val="clear" w:color="auto" w:fill="auto"/>
            <w:tcMar>
              <w:top w:w="0" w:type="dxa"/>
              <w:bottom w:w="0" w:type="dxa"/>
            </w:tcMar>
            <w:vAlign w:val="center"/>
          </w:tcPr>
          <w:p w14:paraId="0C4F33B8"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Investments</w:t>
            </w:r>
          </w:p>
        </w:tc>
        <w:tc>
          <w:tcPr>
            <w:tcW w:w="677" w:type="pct"/>
            <w:shd w:val="clear" w:color="auto" w:fill="auto"/>
            <w:tcMar>
              <w:top w:w="0" w:type="dxa"/>
              <w:bottom w:w="0" w:type="dxa"/>
            </w:tcMar>
            <w:vAlign w:val="center"/>
          </w:tcPr>
          <w:p w14:paraId="557FC108"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262</w:t>
            </w:r>
          </w:p>
        </w:tc>
        <w:tc>
          <w:tcPr>
            <w:tcW w:w="679" w:type="pct"/>
            <w:shd w:val="clear" w:color="auto" w:fill="auto"/>
            <w:tcMar>
              <w:top w:w="0" w:type="dxa"/>
              <w:bottom w:w="0" w:type="dxa"/>
            </w:tcMar>
            <w:vAlign w:val="center"/>
          </w:tcPr>
          <w:p w14:paraId="211D29AC"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1,836</w:t>
            </w:r>
          </w:p>
        </w:tc>
        <w:tc>
          <w:tcPr>
            <w:tcW w:w="684" w:type="pct"/>
            <w:shd w:val="clear" w:color="auto" w:fill="auto"/>
            <w:tcMar>
              <w:top w:w="0" w:type="dxa"/>
              <w:bottom w:w="0" w:type="dxa"/>
            </w:tcMar>
            <w:vAlign w:val="center"/>
          </w:tcPr>
          <w:p w14:paraId="76D4762F"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416</w:t>
            </w:r>
          </w:p>
        </w:tc>
        <w:tc>
          <w:tcPr>
            <w:tcW w:w="682" w:type="pct"/>
            <w:shd w:val="clear" w:color="auto" w:fill="auto"/>
            <w:tcMar>
              <w:top w:w="0" w:type="dxa"/>
              <w:bottom w:w="0" w:type="dxa"/>
            </w:tcMar>
            <w:vAlign w:val="center"/>
          </w:tcPr>
          <w:p w14:paraId="4FC6ECF3"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22.6%</w:t>
            </w:r>
          </w:p>
        </w:tc>
        <w:tc>
          <w:tcPr>
            <w:tcW w:w="684" w:type="pct"/>
            <w:shd w:val="clear" w:color="auto" w:fill="auto"/>
            <w:tcMar>
              <w:top w:w="0" w:type="dxa"/>
              <w:bottom w:w="0" w:type="dxa"/>
            </w:tcMar>
            <w:vAlign w:val="center"/>
          </w:tcPr>
          <w:p w14:paraId="1D7CF421" w14:textId="77777777" w:rsidR="00E31B20" w:rsidRPr="00814690" w:rsidRDefault="00E31B2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158.5%</w:t>
            </w:r>
          </w:p>
        </w:tc>
      </w:tr>
    </w:tbl>
    <w:p w14:paraId="066F9BED"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lang w:val="vi-VN"/>
        </w:rPr>
      </w:pPr>
      <w:r w:rsidRPr="00814690">
        <w:rPr>
          <w:rFonts w:ascii="Arial" w:hAnsi="Arial" w:cs="Arial"/>
          <w:color w:val="010000"/>
          <w:sz w:val="20"/>
        </w:rPr>
        <w:t xml:space="preserve">‎‎Article 2. </w:t>
      </w:r>
      <w:r w:rsidR="000A37AE" w:rsidRPr="00814690">
        <w:rPr>
          <w:rFonts w:ascii="Arial" w:hAnsi="Arial" w:cs="Arial"/>
          <w:color w:val="010000"/>
          <w:sz w:val="20"/>
        </w:rPr>
        <w:t>Approve the production and business p</w:t>
      </w:r>
      <w:r w:rsidRPr="00814690">
        <w:rPr>
          <w:rFonts w:ascii="Arial" w:hAnsi="Arial" w:cs="Arial"/>
          <w:color w:val="010000"/>
          <w:sz w:val="20"/>
        </w:rPr>
        <w:t xml:space="preserve">lan 2024 with the following </w:t>
      </w:r>
      <w:r w:rsidR="000A37AE" w:rsidRPr="00814690">
        <w:rPr>
          <w:rFonts w:ascii="Arial" w:hAnsi="Arial" w:cs="Arial"/>
          <w:color w:val="010000"/>
          <w:sz w:val="20"/>
        </w:rPr>
        <w:t>targets:</w:t>
      </w:r>
      <w:r w:rsidR="00E50C55" w:rsidRPr="00814690">
        <w:rPr>
          <w:rFonts w:ascii="Arial" w:hAnsi="Arial" w:cs="Arial"/>
          <w:color w:val="010000"/>
          <w:sz w:val="20"/>
          <w:lang w:val="vi-VN"/>
        </w:rPr>
        <w:t xml:space="preserve"> </w:t>
      </w:r>
    </w:p>
    <w:p w14:paraId="02BD8BBF" w14:textId="77777777" w:rsidR="00EB675E" w:rsidRPr="00814690" w:rsidRDefault="004C2BB8" w:rsidP="00C94BD4">
      <w:pPr>
        <w:widowControl/>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4690">
        <w:rPr>
          <w:rFonts w:ascii="Arial" w:hAnsi="Arial" w:cs="Arial"/>
          <w:color w:val="010000"/>
          <w:sz w:val="20"/>
        </w:rPr>
        <w:t>Consolidated revenue: VND15,500 billion</w:t>
      </w:r>
    </w:p>
    <w:p w14:paraId="3CA6DE27" w14:textId="77777777" w:rsidR="00EB675E" w:rsidRPr="00814690" w:rsidRDefault="004C2BB8" w:rsidP="00C94BD4">
      <w:pPr>
        <w:widowControl/>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4690">
        <w:rPr>
          <w:rFonts w:ascii="Arial" w:hAnsi="Arial" w:cs="Arial"/>
          <w:color w:val="010000"/>
          <w:sz w:val="20"/>
        </w:rPr>
        <w:t>Total consolidated profit before tax: VND858 billion</w:t>
      </w:r>
    </w:p>
    <w:p w14:paraId="68A547BF" w14:textId="77777777" w:rsidR="00EB675E" w:rsidRPr="00814690" w:rsidRDefault="004C2BB8" w:rsidP="00C94BD4">
      <w:pPr>
        <w:widowControl/>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4690">
        <w:rPr>
          <w:rFonts w:ascii="Arial" w:hAnsi="Arial" w:cs="Arial"/>
          <w:color w:val="010000"/>
          <w:sz w:val="20"/>
        </w:rPr>
        <w:t>Total consolidated profit after tax: VND660 billion</w:t>
      </w:r>
    </w:p>
    <w:p w14:paraId="27BE6978" w14:textId="77777777" w:rsidR="00EB675E" w:rsidRPr="00814690" w:rsidRDefault="004C2BB8" w:rsidP="00C94BD4">
      <w:pPr>
        <w:widowControl/>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4690">
        <w:rPr>
          <w:rFonts w:ascii="Arial" w:hAnsi="Arial" w:cs="Arial"/>
          <w:color w:val="010000"/>
          <w:sz w:val="20"/>
        </w:rPr>
        <w:t>Dividend payment rate: 7% of the charter capital</w:t>
      </w:r>
    </w:p>
    <w:p w14:paraId="4EE0D677" w14:textId="77777777" w:rsidR="00EB675E" w:rsidRPr="00814690" w:rsidRDefault="004C2BB8" w:rsidP="00C94BD4">
      <w:pPr>
        <w:numPr>
          <w:ilvl w:val="0"/>
          <w:numId w:val="6"/>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4690">
        <w:rPr>
          <w:rFonts w:ascii="Arial" w:hAnsi="Arial" w:cs="Arial"/>
          <w:color w:val="010000"/>
          <w:sz w:val="20"/>
        </w:rPr>
        <w:t>Investment plan: VND1,823 billion</w:t>
      </w:r>
    </w:p>
    <w:p w14:paraId="22908413"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 xml:space="preserve">Authorize the Board of Directors to consider and </w:t>
      </w:r>
      <w:r w:rsidR="000A37AE" w:rsidRPr="00814690">
        <w:rPr>
          <w:rFonts w:ascii="Arial" w:hAnsi="Arial" w:cs="Arial"/>
          <w:color w:val="010000"/>
          <w:sz w:val="20"/>
        </w:rPr>
        <w:t>approve the adjustments to the production and business p</w:t>
      </w:r>
      <w:r w:rsidRPr="00814690">
        <w:rPr>
          <w:rFonts w:ascii="Arial" w:hAnsi="Arial" w:cs="Arial"/>
          <w:color w:val="010000"/>
          <w:sz w:val="20"/>
        </w:rPr>
        <w:t xml:space="preserve">lan 2024 in accordance with the actual situation of the year, report to the General Meeting of Shareholders </w:t>
      </w:r>
      <w:r w:rsidR="000A37AE" w:rsidRPr="00814690">
        <w:rPr>
          <w:rFonts w:ascii="Arial" w:hAnsi="Arial" w:cs="Arial"/>
          <w:color w:val="010000"/>
          <w:sz w:val="20"/>
        </w:rPr>
        <w:t>the</w:t>
      </w:r>
      <w:r w:rsidRPr="00814690">
        <w:rPr>
          <w:rFonts w:ascii="Arial" w:hAnsi="Arial" w:cs="Arial"/>
          <w:color w:val="010000"/>
          <w:sz w:val="20"/>
        </w:rPr>
        <w:t xml:space="preserve"> results and disclose information pursuant to regulations.</w:t>
      </w:r>
    </w:p>
    <w:p w14:paraId="1D279583"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‎‎Article 3. Approve the Audited Financial Statements 2023 by PwC (Vietnam) Limited.</w:t>
      </w:r>
    </w:p>
    <w:p w14:paraId="129F7671"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‎‎Article 4. Approve</w:t>
      </w:r>
      <w:r w:rsidR="000A37AE" w:rsidRPr="00814690">
        <w:rPr>
          <w:rFonts w:ascii="Arial" w:hAnsi="Arial" w:cs="Arial"/>
          <w:color w:val="010000"/>
          <w:sz w:val="20"/>
        </w:rPr>
        <w:t xml:space="preserve"> the</w:t>
      </w:r>
      <w:r w:rsidRPr="00814690">
        <w:rPr>
          <w:rFonts w:ascii="Arial" w:hAnsi="Arial" w:cs="Arial"/>
          <w:color w:val="010000"/>
          <w:sz w:val="20"/>
        </w:rPr>
        <w:t xml:space="preserve"> Proposal </w:t>
      </w:r>
      <w:r w:rsidR="000A37AE" w:rsidRPr="00814690">
        <w:rPr>
          <w:rFonts w:ascii="Arial" w:hAnsi="Arial" w:cs="Arial"/>
          <w:color w:val="010000"/>
          <w:sz w:val="20"/>
        </w:rPr>
        <w:t xml:space="preserve">on the </w:t>
      </w:r>
      <w:r w:rsidRPr="00814690">
        <w:rPr>
          <w:rFonts w:ascii="Arial" w:hAnsi="Arial" w:cs="Arial"/>
          <w:color w:val="010000"/>
          <w:sz w:val="20"/>
        </w:rPr>
        <w:t xml:space="preserve">profit distribution </w:t>
      </w:r>
      <w:r w:rsidR="000A37AE" w:rsidRPr="00814690">
        <w:rPr>
          <w:rFonts w:ascii="Arial" w:hAnsi="Arial" w:cs="Arial"/>
          <w:color w:val="010000"/>
          <w:sz w:val="20"/>
        </w:rPr>
        <w:t xml:space="preserve">plan </w:t>
      </w:r>
      <w:r w:rsidRPr="00814690">
        <w:rPr>
          <w:rFonts w:ascii="Arial" w:hAnsi="Arial" w:cs="Arial"/>
          <w:color w:val="010000"/>
          <w:sz w:val="20"/>
        </w:rPr>
        <w:t>2023 and the Financial plan 2024 including the following contents:</w:t>
      </w:r>
    </w:p>
    <w:p w14:paraId="0A8F9B34" w14:textId="77777777" w:rsidR="00EB675E" w:rsidRPr="00814690" w:rsidRDefault="004C2BB8" w:rsidP="00C94BD4">
      <w:pPr>
        <w:numPr>
          <w:ilvl w:val="0"/>
          <w:numId w:val="12"/>
        </w:numPr>
        <w:pBdr>
          <w:top w:val="nil"/>
          <w:left w:val="nil"/>
          <w:bottom w:val="nil"/>
          <w:right w:val="nil"/>
          <w:between w:val="nil"/>
        </w:pBdr>
        <w:tabs>
          <w:tab w:val="left" w:pos="432"/>
          <w:tab w:val="left" w:pos="1428"/>
        </w:tabs>
        <w:spacing w:after="120" w:line="360" w:lineRule="auto"/>
        <w:jc w:val="both"/>
        <w:rPr>
          <w:rFonts w:ascii="Arial" w:eastAsia="Arial" w:hAnsi="Arial" w:cs="Arial"/>
          <w:color w:val="010000"/>
          <w:sz w:val="20"/>
          <w:szCs w:val="20"/>
        </w:rPr>
      </w:pPr>
      <w:r w:rsidRPr="00814690">
        <w:rPr>
          <w:rFonts w:ascii="Arial" w:hAnsi="Arial" w:cs="Arial"/>
          <w:color w:val="010000"/>
          <w:sz w:val="20"/>
        </w:rPr>
        <w:t>The plan profit distribution</w:t>
      </w:r>
      <w:r w:rsidR="000A37AE" w:rsidRPr="00814690">
        <w:rPr>
          <w:rFonts w:ascii="Arial" w:hAnsi="Arial" w:cs="Arial"/>
          <w:color w:val="010000"/>
          <w:sz w:val="20"/>
        </w:rPr>
        <w:t xml:space="preserve"> plan</w:t>
      </w:r>
      <w:r w:rsidRPr="00814690">
        <w:rPr>
          <w:rFonts w:ascii="Arial" w:hAnsi="Arial" w:cs="Arial"/>
          <w:color w:val="010000"/>
          <w:sz w:val="20"/>
        </w:rPr>
        <w:t xml:space="preserve"> 2023:</w:t>
      </w:r>
    </w:p>
    <w:p w14:paraId="4241DEAD" w14:textId="77777777" w:rsidR="00EB675E" w:rsidRPr="00814690" w:rsidRDefault="004C2BB8" w:rsidP="00C94BD4">
      <w:pPr>
        <w:pBdr>
          <w:top w:val="nil"/>
          <w:left w:val="nil"/>
          <w:bottom w:val="nil"/>
          <w:right w:val="nil"/>
          <w:between w:val="nil"/>
        </w:pBdr>
        <w:tabs>
          <w:tab w:val="left" w:pos="432"/>
          <w:tab w:val="left" w:pos="7484"/>
        </w:tabs>
        <w:spacing w:after="120" w:line="360" w:lineRule="auto"/>
        <w:jc w:val="both"/>
        <w:rPr>
          <w:rFonts w:ascii="Arial" w:eastAsia="Arial" w:hAnsi="Arial" w:cs="Arial"/>
          <w:color w:val="010000"/>
          <w:sz w:val="20"/>
          <w:szCs w:val="20"/>
        </w:rPr>
      </w:pPr>
      <w:r w:rsidRPr="00814690">
        <w:rPr>
          <w:rFonts w:ascii="Arial" w:hAnsi="Arial" w:cs="Arial"/>
          <w:color w:val="010000"/>
          <w:sz w:val="20"/>
        </w:rPr>
        <w:t>Total distributed profit: VND1,155,594 million</w:t>
      </w:r>
    </w:p>
    <w:p w14:paraId="740862F1" w14:textId="77777777" w:rsidR="00EB675E" w:rsidRPr="00814690" w:rsidRDefault="004C2BB8" w:rsidP="00C94BD4">
      <w:pPr>
        <w:numPr>
          <w:ilvl w:val="0"/>
          <w:numId w:val="1"/>
        </w:numPr>
        <w:pBdr>
          <w:top w:val="nil"/>
          <w:left w:val="nil"/>
          <w:bottom w:val="nil"/>
          <w:right w:val="nil"/>
          <w:between w:val="nil"/>
        </w:pBdr>
        <w:tabs>
          <w:tab w:val="left" w:pos="432"/>
          <w:tab w:val="left" w:pos="1429"/>
          <w:tab w:val="left" w:pos="7690"/>
          <w:tab w:val="left" w:pos="8787"/>
        </w:tabs>
        <w:spacing w:after="120" w:line="360" w:lineRule="auto"/>
        <w:jc w:val="both"/>
        <w:rPr>
          <w:rFonts w:ascii="Arial" w:eastAsia="Arial" w:hAnsi="Arial" w:cs="Arial"/>
          <w:color w:val="010000"/>
          <w:sz w:val="20"/>
          <w:szCs w:val="20"/>
        </w:rPr>
      </w:pPr>
      <w:r w:rsidRPr="00814690">
        <w:rPr>
          <w:rFonts w:ascii="Arial" w:hAnsi="Arial" w:cs="Arial"/>
          <w:color w:val="010000"/>
          <w:sz w:val="20"/>
        </w:rPr>
        <w:t>Dividend payment in cash (7% of the charter capital): VND334,576 million</w:t>
      </w:r>
    </w:p>
    <w:p w14:paraId="00C8BE6D" w14:textId="77777777" w:rsidR="00EB675E" w:rsidRPr="00814690" w:rsidRDefault="004C2BB8" w:rsidP="00C94BD4">
      <w:pPr>
        <w:numPr>
          <w:ilvl w:val="0"/>
          <w:numId w:val="1"/>
        </w:numPr>
        <w:pBdr>
          <w:top w:val="nil"/>
          <w:left w:val="nil"/>
          <w:bottom w:val="nil"/>
          <w:right w:val="nil"/>
          <w:between w:val="nil"/>
        </w:pBdr>
        <w:tabs>
          <w:tab w:val="left" w:pos="432"/>
          <w:tab w:val="left" w:pos="1443"/>
          <w:tab w:val="left" w:pos="7690"/>
          <w:tab w:val="left" w:pos="8792"/>
        </w:tabs>
        <w:spacing w:after="120" w:line="360" w:lineRule="auto"/>
        <w:jc w:val="both"/>
        <w:rPr>
          <w:rFonts w:ascii="Arial" w:eastAsia="Arial" w:hAnsi="Arial" w:cs="Arial"/>
          <w:color w:val="010000"/>
          <w:sz w:val="20"/>
          <w:szCs w:val="20"/>
        </w:rPr>
      </w:pPr>
      <w:r w:rsidRPr="00814690">
        <w:rPr>
          <w:rFonts w:ascii="Arial" w:hAnsi="Arial" w:cs="Arial"/>
          <w:color w:val="010000"/>
          <w:sz w:val="20"/>
        </w:rPr>
        <w:t>Investment and development fund: VND336,928 million</w:t>
      </w:r>
    </w:p>
    <w:p w14:paraId="303E0D47" w14:textId="77777777" w:rsidR="00EB675E" w:rsidRPr="00814690" w:rsidRDefault="004C2BB8" w:rsidP="00C94BD4">
      <w:pPr>
        <w:numPr>
          <w:ilvl w:val="0"/>
          <w:numId w:val="1"/>
        </w:numPr>
        <w:pBdr>
          <w:top w:val="nil"/>
          <w:left w:val="nil"/>
          <w:bottom w:val="nil"/>
          <w:right w:val="nil"/>
          <w:between w:val="nil"/>
        </w:pBdr>
        <w:tabs>
          <w:tab w:val="left" w:pos="432"/>
          <w:tab w:val="left" w:pos="1443"/>
          <w:tab w:val="left" w:pos="8811"/>
        </w:tabs>
        <w:spacing w:after="120" w:line="360" w:lineRule="auto"/>
        <w:jc w:val="both"/>
        <w:rPr>
          <w:rFonts w:ascii="Arial" w:eastAsia="Arial" w:hAnsi="Arial" w:cs="Arial"/>
          <w:color w:val="010000"/>
          <w:sz w:val="20"/>
          <w:szCs w:val="20"/>
        </w:rPr>
      </w:pPr>
      <w:r w:rsidRPr="00814690">
        <w:rPr>
          <w:rFonts w:ascii="Arial" w:hAnsi="Arial" w:cs="Arial"/>
          <w:color w:val="010000"/>
          <w:sz w:val="20"/>
        </w:rPr>
        <w:t>Bonus and welfare fund</w:t>
      </w:r>
      <w:r w:rsidR="000A37AE" w:rsidRPr="00814690">
        <w:rPr>
          <w:rFonts w:ascii="Arial" w:hAnsi="Arial" w:cs="Arial"/>
          <w:color w:val="010000"/>
          <w:sz w:val="20"/>
        </w:rPr>
        <w:t>s</w:t>
      </w:r>
      <w:r w:rsidRPr="00814690">
        <w:rPr>
          <w:rFonts w:ascii="Arial" w:hAnsi="Arial" w:cs="Arial"/>
          <w:color w:val="010000"/>
          <w:sz w:val="20"/>
        </w:rPr>
        <w:t>, Bonus fund for the Executive Board: VND234,607 million</w:t>
      </w:r>
    </w:p>
    <w:p w14:paraId="579020AE" w14:textId="77777777" w:rsidR="00EB675E" w:rsidRPr="00814690" w:rsidRDefault="004C2BB8" w:rsidP="00C94BD4">
      <w:pPr>
        <w:numPr>
          <w:ilvl w:val="0"/>
          <w:numId w:val="1"/>
        </w:numPr>
        <w:pBdr>
          <w:top w:val="nil"/>
          <w:left w:val="nil"/>
          <w:bottom w:val="nil"/>
          <w:right w:val="nil"/>
          <w:between w:val="nil"/>
        </w:pBdr>
        <w:tabs>
          <w:tab w:val="left" w:pos="432"/>
          <w:tab w:val="left" w:pos="1443"/>
          <w:tab w:val="left" w:pos="7690"/>
          <w:tab w:val="left" w:pos="8792"/>
        </w:tabs>
        <w:spacing w:after="120" w:line="360" w:lineRule="auto"/>
        <w:jc w:val="both"/>
        <w:rPr>
          <w:rFonts w:ascii="Arial" w:eastAsia="Arial" w:hAnsi="Arial" w:cs="Arial"/>
          <w:color w:val="010000"/>
          <w:sz w:val="20"/>
          <w:szCs w:val="20"/>
        </w:rPr>
      </w:pPr>
      <w:r w:rsidRPr="00814690">
        <w:rPr>
          <w:rFonts w:ascii="Arial" w:hAnsi="Arial" w:cs="Arial"/>
          <w:color w:val="010000"/>
          <w:sz w:val="20"/>
        </w:rPr>
        <w:t>Undistributed profit: VND249,483 million</w:t>
      </w:r>
    </w:p>
    <w:p w14:paraId="4F4287EB" w14:textId="77777777" w:rsidR="00EB675E" w:rsidRPr="00814690" w:rsidRDefault="004C2BB8" w:rsidP="00C94BD4">
      <w:pPr>
        <w:numPr>
          <w:ilvl w:val="0"/>
          <w:numId w:val="12"/>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Financial plan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9"/>
        <w:gridCol w:w="5996"/>
        <w:gridCol w:w="828"/>
        <w:gridCol w:w="1566"/>
      </w:tblGrid>
      <w:tr w:rsidR="00EB675E" w:rsidRPr="00814690" w14:paraId="782638A2" w14:textId="77777777" w:rsidTr="009D1D78">
        <w:tc>
          <w:tcPr>
            <w:tcW w:w="349" w:type="pct"/>
            <w:vMerge w:val="restart"/>
            <w:shd w:val="clear" w:color="auto" w:fill="auto"/>
            <w:tcMar>
              <w:top w:w="0" w:type="dxa"/>
              <w:bottom w:w="0" w:type="dxa"/>
            </w:tcMar>
            <w:vAlign w:val="center"/>
          </w:tcPr>
          <w:p w14:paraId="4665164A" w14:textId="77777777" w:rsidR="00EB675E" w:rsidRPr="00814690" w:rsidRDefault="00B00DE0"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 xml:space="preserve">No. </w:t>
            </w:r>
          </w:p>
        </w:tc>
        <w:tc>
          <w:tcPr>
            <w:tcW w:w="3324" w:type="pct"/>
            <w:vMerge w:val="restart"/>
            <w:shd w:val="clear" w:color="auto" w:fill="auto"/>
            <w:tcMar>
              <w:top w:w="0" w:type="dxa"/>
              <w:bottom w:w="0" w:type="dxa"/>
            </w:tcMar>
            <w:vAlign w:val="center"/>
          </w:tcPr>
          <w:p w14:paraId="2F14FF82"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Criteria</w:t>
            </w:r>
          </w:p>
        </w:tc>
        <w:tc>
          <w:tcPr>
            <w:tcW w:w="1327" w:type="pct"/>
            <w:gridSpan w:val="2"/>
            <w:shd w:val="clear" w:color="auto" w:fill="auto"/>
            <w:tcMar>
              <w:top w:w="0" w:type="dxa"/>
              <w:bottom w:w="0" w:type="dxa"/>
            </w:tcMar>
            <w:vAlign w:val="center"/>
          </w:tcPr>
          <w:p w14:paraId="539AE3E9"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Plan 2024</w:t>
            </w:r>
          </w:p>
        </w:tc>
      </w:tr>
      <w:tr w:rsidR="00EB675E" w:rsidRPr="00814690" w14:paraId="45D0923F" w14:textId="77777777" w:rsidTr="009D1D78">
        <w:tc>
          <w:tcPr>
            <w:tcW w:w="349" w:type="pct"/>
            <w:vMerge/>
            <w:shd w:val="clear" w:color="auto" w:fill="auto"/>
            <w:tcMar>
              <w:top w:w="0" w:type="dxa"/>
              <w:bottom w:w="0" w:type="dxa"/>
            </w:tcMar>
            <w:vAlign w:val="center"/>
          </w:tcPr>
          <w:p w14:paraId="6D579AA1" w14:textId="77777777" w:rsidR="00EB675E" w:rsidRPr="00814690" w:rsidRDefault="00EB675E"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3324" w:type="pct"/>
            <w:vMerge/>
            <w:shd w:val="clear" w:color="auto" w:fill="auto"/>
            <w:tcMar>
              <w:top w:w="0" w:type="dxa"/>
              <w:bottom w:w="0" w:type="dxa"/>
            </w:tcMar>
            <w:vAlign w:val="center"/>
          </w:tcPr>
          <w:p w14:paraId="54D41563" w14:textId="77777777" w:rsidR="00EB675E" w:rsidRPr="00814690" w:rsidRDefault="00EB675E"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tc>
        <w:tc>
          <w:tcPr>
            <w:tcW w:w="459" w:type="pct"/>
            <w:shd w:val="clear" w:color="auto" w:fill="auto"/>
            <w:tcMar>
              <w:top w:w="0" w:type="dxa"/>
              <w:bottom w:w="0" w:type="dxa"/>
            </w:tcMar>
            <w:vAlign w:val="center"/>
          </w:tcPr>
          <w:p w14:paraId="67455D64"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Rate</w:t>
            </w:r>
          </w:p>
        </w:tc>
        <w:tc>
          <w:tcPr>
            <w:tcW w:w="868" w:type="pct"/>
            <w:shd w:val="clear" w:color="auto" w:fill="auto"/>
            <w:tcMar>
              <w:top w:w="0" w:type="dxa"/>
              <w:bottom w:w="0" w:type="dxa"/>
            </w:tcMar>
            <w:vAlign w:val="center"/>
          </w:tcPr>
          <w:p w14:paraId="6B1CAAC7" w14:textId="77777777" w:rsidR="00EB675E" w:rsidRPr="00814690" w:rsidRDefault="000A37AE"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 xml:space="preserve">Value (million </w:t>
            </w:r>
            <w:r w:rsidR="004C2BB8" w:rsidRPr="00814690">
              <w:rPr>
                <w:rFonts w:ascii="Arial" w:hAnsi="Arial" w:cs="Arial"/>
                <w:color w:val="010000"/>
                <w:sz w:val="20"/>
              </w:rPr>
              <w:t>VND)</w:t>
            </w:r>
          </w:p>
        </w:tc>
      </w:tr>
      <w:tr w:rsidR="00EB675E" w:rsidRPr="00814690" w14:paraId="647C92A0" w14:textId="77777777" w:rsidTr="009D1D78">
        <w:tc>
          <w:tcPr>
            <w:tcW w:w="349" w:type="pct"/>
            <w:shd w:val="clear" w:color="auto" w:fill="auto"/>
            <w:tcMar>
              <w:top w:w="0" w:type="dxa"/>
              <w:bottom w:w="0" w:type="dxa"/>
            </w:tcMar>
            <w:vAlign w:val="center"/>
          </w:tcPr>
          <w:p w14:paraId="6D8761C3"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w:t>
            </w:r>
          </w:p>
        </w:tc>
        <w:tc>
          <w:tcPr>
            <w:tcW w:w="3324" w:type="pct"/>
            <w:shd w:val="clear" w:color="auto" w:fill="auto"/>
            <w:tcMar>
              <w:top w:w="0" w:type="dxa"/>
              <w:bottom w:w="0" w:type="dxa"/>
            </w:tcMar>
            <w:vAlign w:val="center"/>
          </w:tcPr>
          <w:p w14:paraId="7DBE5EBC"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Charter capital</w:t>
            </w:r>
          </w:p>
        </w:tc>
        <w:tc>
          <w:tcPr>
            <w:tcW w:w="459" w:type="pct"/>
            <w:shd w:val="clear" w:color="auto" w:fill="auto"/>
            <w:tcMar>
              <w:top w:w="0" w:type="dxa"/>
              <w:bottom w:w="0" w:type="dxa"/>
            </w:tcMar>
            <w:vAlign w:val="center"/>
          </w:tcPr>
          <w:p w14:paraId="0B455DE4"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868" w:type="pct"/>
            <w:shd w:val="clear" w:color="auto" w:fill="auto"/>
            <w:tcMar>
              <w:top w:w="0" w:type="dxa"/>
              <w:bottom w:w="0" w:type="dxa"/>
            </w:tcMar>
            <w:vAlign w:val="center"/>
          </w:tcPr>
          <w:p w14:paraId="7F2FB696"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r>
      <w:tr w:rsidR="00EB675E" w:rsidRPr="00814690" w14:paraId="04BA8D1D" w14:textId="77777777" w:rsidTr="009D1D78">
        <w:tc>
          <w:tcPr>
            <w:tcW w:w="349" w:type="pct"/>
            <w:shd w:val="clear" w:color="auto" w:fill="auto"/>
            <w:tcMar>
              <w:top w:w="0" w:type="dxa"/>
              <w:bottom w:w="0" w:type="dxa"/>
            </w:tcMar>
            <w:vAlign w:val="center"/>
          </w:tcPr>
          <w:p w14:paraId="1A11E0F7"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3324" w:type="pct"/>
            <w:shd w:val="clear" w:color="auto" w:fill="auto"/>
            <w:tcMar>
              <w:top w:w="0" w:type="dxa"/>
              <w:bottom w:w="0" w:type="dxa"/>
            </w:tcMar>
            <w:vAlign w:val="center"/>
          </w:tcPr>
          <w:p w14:paraId="3AF0193B" w14:textId="77777777" w:rsidR="00EB675E" w:rsidRPr="00814690" w:rsidRDefault="004C2BB8" w:rsidP="00C94BD4">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4690">
              <w:rPr>
                <w:rFonts w:ascii="Arial" w:hAnsi="Arial" w:cs="Arial"/>
                <w:color w:val="010000"/>
                <w:sz w:val="20"/>
              </w:rPr>
              <w:t>Charter capital at the beginning of the year</w:t>
            </w:r>
          </w:p>
        </w:tc>
        <w:tc>
          <w:tcPr>
            <w:tcW w:w="459" w:type="pct"/>
            <w:shd w:val="clear" w:color="auto" w:fill="auto"/>
            <w:tcMar>
              <w:top w:w="0" w:type="dxa"/>
              <w:bottom w:w="0" w:type="dxa"/>
            </w:tcMar>
            <w:vAlign w:val="center"/>
          </w:tcPr>
          <w:p w14:paraId="2804BA70"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868" w:type="pct"/>
            <w:shd w:val="clear" w:color="auto" w:fill="auto"/>
            <w:tcMar>
              <w:top w:w="0" w:type="dxa"/>
              <w:bottom w:w="0" w:type="dxa"/>
            </w:tcMar>
            <w:vAlign w:val="center"/>
          </w:tcPr>
          <w:p w14:paraId="58711189"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4,779,663</w:t>
            </w:r>
          </w:p>
        </w:tc>
      </w:tr>
      <w:tr w:rsidR="00EB675E" w:rsidRPr="00814690" w14:paraId="20D7514D" w14:textId="77777777" w:rsidTr="009D1D78">
        <w:tc>
          <w:tcPr>
            <w:tcW w:w="349" w:type="pct"/>
            <w:shd w:val="clear" w:color="auto" w:fill="auto"/>
            <w:tcMar>
              <w:top w:w="0" w:type="dxa"/>
              <w:bottom w:w="0" w:type="dxa"/>
            </w:tcMar>
            <w:vAlign w:val="center"/>
          </w:tcPr>
          <w:p w14:paraId="03C44AEF"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3324" w:type="pct"/>
            <w:shd w:val="clear" w:color="auto" w:fill="auto"/>
            <w:tcMar>
              <w:top w:w="0" w:type="dxa"/>
              <w:bottom w:w="0" w:type="dxa"/>
            </w:tcMar>
            <w:vAlign w:val="center"/>
          </w:tcPr>
          <w:p w14:paraId="1C7B6B8C" w14:textId="77777777" w:rsidR="00EB675E" w:rsidRPr="00814690" w:rsidRDefault="004C2BB8" w:rsidP="00C94BD4">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4690">
              <w:rPr>
                <w:rFonts w:ascii="Arial" w:hAnsi="Arial" w:cs="Arial"/>
                <w:color w:val="010000"/>
                <w:sz w:val="20"/>
              </w:rPr>
              <w:t>Charter capital at the end of the year</w:t>
            </w:r>
          </w:p>
        </w:tc>
        <w:tc>
          <w:tcPr>
            <w:tcW w:w="459" w:type="pct"/>
            <w:shd w:val="clear" w:color="auto" w:fill="auto"/>
            <w:tcMar>
              <w:top w:w="0" w:type="dxa"/>
              <w:bottom w:w="0" w:type="dxa"/>
            </w:tcMar>
            <w:vAlign w:val="center"/>
          </w:tcPr>
          <w:p w14:paraId="45D9A097"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868" w:type="pct"/>
            <w:shd w:val="clear" w:color="auto" w:fill="auto"/>
            <w:tcMar>
              <w:top w:w="0" w:type="dxa"/>
              <w:bottom w:w="0" w:type="dxa"/>
            </w:tcMar>
            <w:vAlign w:val="center"/>
          </w:tcPr>
          <w:p w14:paraId="48F2ACAD"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4,779,663</w:t>
            </w:r>
          </w:p>
        </w:tc>
      </w:tr>
      <w:tr w:rsidR="00EB675E" w:rsidRPr="00814690" w14:paraId="0322E8B4" w14:textId="77777777" w:rsidTr="009D1D78">
        <w:tc>
          <w:tcPr>
            <w:tcW w:w="349" w:type="pct"/>
            <w:shd w:val="clear" w:color="auto" w:fill="auto"/>
            <w:tcMar>
              <w:top w:w="0" w:type="dxa"/>
              <w:bottom w:w="0" w:type="dxa"/>
            </w:tcMar>
            <w:vAlign w:val="center"/>
          </w:tcPr>
          <w:p w14:paraId="7F56B263"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3324" w:type="pct"/>
            <w:shd w:val="clear" w:color="auto" w:fill="auto"/>
            <w:tcMar>
              <w:top w:w="0" w:type="dxa"/>
              <w:bottom w:w="0" w:type="dxa"/>
            </w:tcMar>
            <w:vAlign w:val="center"/>
          </w:tcPr>
          <w:p w14:paraId="3C0681BE" w14:textId="77777777" w:rsidR="00EB675E" w:rsidRPr="00814690" w:rsidRDefault="004C2BB8" w:rsidP="00C94BD4">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4690">
              <w:rPr>
                <w:rFonts w:ascii="Arial" w:hAnsi="Arial" w:cs="Arial"/>
                <w:color w:val="010000"/>
                <w:sz w:val="20"/>
              </w:rPr>
              <w:t>Average charter capital of the year</w:t>
            </w:r>
          </w:p>
        </w:tc>
        <w:tc>
          <w:tcPr>
            <w:tcW w:w="459" w:type="pct"/>
            <w:shd w:val="clear" w:color="auto" w:fill="auto"/>
            <w:tcMar>
              <w:top w:w="0" w:type="dxa"/>
              <w:bottom w:w="0" w:type="dxa"/>
            </w:tcMar>
            <w:vAlign w:val="center"/>
          </w:tcPr>
          <w:p w14:paraId="60AC2093"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868" w:type="pct"/>
            <w:shd w:val="clear" w:color="auto" w:fill="auto"/>
            <w:tcMar>
              <w:top w:w="0" w:type="dxa"/>
              <w:bottom w:w="0" w:type="dxa"/>
            </w:tcMar>
            <w:vAlign w:val="center"/>
          </w:tcPr>
          <w:p w14:paraId="466A9D57"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4,779,663</w:t>
            </w:r>
          </w:p>
        </w:tc>
      </w:tr>
      <w:tr w:rsidR="00EB675E" w:rsidRPr="00814690" w14:paraId="2C487DA8" w14:textId="77777777" w:rsidTr="009D1D78">
        <w:tc>
          <w:tcPr>
            <w:tcW w:w="349" w:type="pct"/>
            <w:shd w:val="clear" w:color="auto" w:fill="auto"/>
            <w:tcMar>
              <w:top w:w="0" w:type="dxa"/>
              <w:bottom w:w="0" w:type="dxa"/>
            </w:tcMar>
            <w:vAlign w:val="center"/>
          </w:tcPr>
          <w:p w14:paraId="6D45E98D"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2</w:t>
            </w:r>
          </w:p>
        </w:tc>
        <w:tc>
          <w:tcPr>
            <w:tcW w:w="3324" w:type="pct"/>
            <w:shd w:val="clear" w:color="auto" w:fill="auto"/>
            <w:tcMar>
              <w:top w:w="0" w:type="dxa"/>
              <w:bottom w:w="0" w:type="dxa"/>
            </w:tcMar>
            <w:vAlign w:val="center"/>
          </w:tcPr>
          <w:p w14:paraId="2E1DADDA"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Revenue:</w:t>
            </w:r>
          </w:p>
        </w:tc>
        <w:tc>
          <w:tcPr>
            <w:tcW w:w="459" w:type="pct"/>
            <w:shd w:val="clear" w:color="auto" w:fill="auto"/>
            <w:tcMar>
              <w:top w:w="0" w:type="dxa"/>
              <w:bottom w:w="0" w:type="dxa"/>
            </w:tcMar>
            <w:vAlign w:val="center"/>
          </w:tcPr>
          <w:p w14:paraId="43A356B1"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868" w:type="pct"/>
            <w:shd w:val="clear" w:color="auto" w:fill="auto"/>
            <w:tcMar>
              <w:top w:w="0" w:type="dxa"/>
              <w:bottom w:w="0" w:type="dxa"/>
            </w:tcMar>
            <w:vAlign w:val="center"/>
          </w:tcPr>
          <w:p w14:paraId="6C419D9D"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r>
      <w:tr w:rsidR="00EB675E" w:rsidRPr="00814690" w14:paraId="6D0923D4" w14:textId="77777777" w:rsidTr="009D1D78">
        <w:tc>
          <w:tcPr>
            <w:tcW w:w="349" w:type="pct"/>
            <w:shd w:val="clear" w:color="auto" w:fill="auto"/>
            <w:tcMar>
              <w:top w:w="0" w:type="dxa"/>
              <w:bottom w:w="0" w:type="dxa"/>
            </w:tcMar>
            <w:vAlign w:val="center"/>
          </w:tcPr>
          <w:p w14:paraId="740965FA"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3324" w:type="pct"/>
            <w:shd w:val="clear" w:color="auto" w:fill="auto"/>
            <w:tcMar>
              <w:top w:w="0" w:type="dxa"/>
              <w:bottom w:w="0" w:type="dxa"/>
            </w:tcMar>
            <w:vAlign w:val="center"/>
          </w:tcPr>
          <w:p w14:paraId="279A20C2" w14:textId="77777777" w:rsidR="00EB675E" w:rsidRPr="00814690" w:rsidRDefault="004C2BB8" w:rsidP="00C94BD4">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4690">
              <w:rPr>
                <w:rFonts w:ascii="Arial" w:hAnsi="Arial" w:cs="Arial"/>
                <w:color w:val="010000"/>
                <w:sz w:val="20"/>
              </w:rPr>
              <w:t>Consolidated revenue</w:t>
            </w:r>
          </w:p>
        </w:tc>
        <w:tc>
          <w:tcPr>
            <w:tcW w:w="459" w:type="pct"/>
            <w:shd w:val="clear" w:color="auto" w:fill="auto"/>
            <w:tcMar>
              <w:top w:w="0" w:type="dxa"/>
              <w:bottom w:w="0" w:type="dxa"/>
            </w:tcMar>
            <w:vAlign w:val="center"/>
          </w:tcPr>
          <w:p w14:paraId="5EE76C8B"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868" w:type="pct"/>
            <w:shd w:val="clear" w:color="auto" w:fill="auto"/>
            <w:tcMar>
              <w:top w:w="0" w:type="dxa"/>
              <w:bottom w:w="0" w:type="dxa"/>
            </w:tcMar>
            <w:vAlign w:val="center"/>
          </w:tcPr>
          <w:p w14:paraId="6F3C07EE"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15,500,000</w:t>
            </w:r>
          </w:p>
        </w:tc>
      </w:tr>
      <w:tr w:rsidR="00EB675E" w:rsidRPr="00814690" w14:paraId="70B26F39" w14:textId="77777777" w:rsidTr="009D1D78">
        <w:tc>
          <w:tcPr>
            <w:tcW w:w="349" w:type="pct"/>
            <w:shd w:val="clear" w:color="auto" w:fill="auto"/>
            <w:tcMar>
              <w:top w:w="0" w:type="dxa"/>
              <w:bottom w:w="0" w:type="dxa"/>
            </w:tcMar>
            <w:vAlign w:val="center"/>
          </w:tcPr>
          <w:p w14:paraId="12B06B4A"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3324" w:type="pct"/>
            <w:shd w:val="clear" w:color="auto" w:fill="auto"/>
            <w:tcMar>
              <w:top w:w="0" w:type="dxa"/>
              <w:bottom w:w="0" w:type="dxa"/>
            </w:tcMar>
            <w:vAlign w:val="center"/>
          </w:tcPr>
          <w:p w14:paraId="15109F52" w14:textId="77777777" w:rsidR="00EB675E" w:rsidRPr="00814690" w:rsidRDefault="004C2BB8" w:rsidP="00C94BD4">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4690">
              <w:rPr>
                <w:rFonts w:ascii="Arial" w:hAnsi="Arial" w:cs="Arial"/>
                <w:color w:val="010000"/>
                <w:sz w:val="20"/>
              </w:rPr>
              <w:t>Revenue from the Holding Company</w:t>
            </w:r>
          </w:p>
        </w:tc>
        <w:tc>
          <w:tcPr>
            <w:tcW w:w="459" w:type="pct"/>
            <w:shd w:val="clear" w:color="auto" w:fill="auto"/>
            <w:tcMar>
              <w:top w:w="0" w:type="dxa"/>
              <w:bottom w:w="0" w:type="dxa"/>
            </w:tcMar>
            <w:vAlign w:val="center"/>
          </w:tcPr>
          <w:p w14:paraId="39BCD16D"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868" w:type="pct"/>
            <w:shd w:val="clear" w:color="auto" w:fill="auto"/>
            <w:tcMar>
              <w:top w:w="0" w:type="dxa"/>
              <w:bottom w:w="0" w:type="dxa"/>
            </w:tcMar>
            <w:vAlign w:val="center"/>
          </w:tcPr>
          <w:p w14:paraId="1BBB04C3"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7,000,000</w:t>
            </w:r>
          </w:p>
        </w:tc>
      </w:tr>
      <w:tr w:rsidR="00EB675E" w:rsidRPr="00814690" w14:paraId="0412EE95" w14:textId="77777777" w:rsidTr="009D1D78">
        <w:tc>
          <w:tcPr>
            <w:tcW w:w="349" w:type="pct"/>
            <w:shd w:val="clear" w:color="auto" w:fill="auto"/>
            <w:tcMar>
              <w:top w:w="0" w:type="dxa"/>
              <w:bottom w:w="0" w:type="dxa"/>
            </w:tcMar>
            <w:vAlign w:val="center"/>
          </w:tcPr>
          <w:p w14:paraId="0861DB5E"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3</w:t>
            </w:r>
          </w:p>
        </w:tc>
        <w:tc>
          <w:tcPr>
            <w:tcW w:w="3324" w:type="pct"/>
            <w:shd w:val="clear" w:color="auto" w:fill="auto"/>
            <w:tcMar>
              <w:top w:w="0" w:type="dxa"/>
              <w:bottom w:w="0" w:type="dxa"/>
            </w:tcMar>
            <w:vAlign w:val="center"/>
          </w:tcPr>
          <w:p w14:paraId="2D2949CA"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Profit before tax:</w:t>
            </w:r>
          </w:p>
        </w:tc>
        <w:tc>
          <w:tcPr>
            <w:tcW w:w="459" w:type="pct"/>
            <w:shd w:val="clear" w:color="auto" w:fill="auto"/>
            <w:tcMar>
              <w:top w:w="0" w:type="dxa"/>
              <w:bottom w:w="0" w:type="dxa"/>
            </w:tcMar>
            <w:vAlign w:val="center"/>
          </w:tcPr>
          <w:p w14:paraId="24009D68"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868" w:type="pct"/>
            <w:shd w:val="clear" w:color="auto" w:fill="auto"/>
            <w:tcMar>
              <w:top w:w="0" w:type="dxa"/>
              <w:bottom w:w="0" w:type="dxa"/>
            </w:tcMar>
            <w:vAlign w:val="center"/>
          </w:tcPr>
          <w:p w14:paraId="46A35C26"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r>
      <w:tr w:rsidR="00EB675E" w:rsidRPr="00814690" w14:paraId="0F98C515" w14:textId="77777777" w:rsidTr="009D1D78">
        <w:tc>
          <w:tcPr>
            <w:tcW w:w="349" w:type="pct"/>
            <w:shd w:val="clear" w:color="auto" w:fill="auto"/>
            <w:tcMar>
              <w:top w:w="0" w:type="dxa"/>
              <w:bottom w:w="0" w:type="dxa"/>
            </w:tcMar>
            <w:vAlign w:val="center"/>
          </w:tcPr>
          <w:p w14:paraId="65577642"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3324" w:type="pct"/>
            <w:shd w:val="clear" w:color="auto" w:fill="auto"/>
            <w:tcMar>
              <w:top w:w="0" w:type="dxa"/>
              <w:bottom w:w="0" w:type="dxa"/>
            </w:tcMar>
            <w:vAlign w:val="center"/>
          </w:tcPr>
          <w:p w14:paraId="6760C1A7" w14:textId="77777777" w:rsidR="00EB675E" w:rsidRPr="00814690" w:rsidRDefault="004C2BB8" w:rsidP="00C94BD4">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4690">
              <w:rPr>
                <w:rFonts w:ascii="Arial" w:hAnsi="Arial" w:cs="Arial"/>
                <w:color w:val="010000"/>
                <w:sz w:val="20"/>
              </w:rPr>
              <w:t>Consolidated profit before tax</w:t>
            </w:r>
          </w:p>
        </w:tc>
        <w:tc>
          <w:tcPr>
            <w:tcW w:w="459" w:type="pct"/>
            <w:shd w:val="clear" w:color="auto" w:fill="auto"/>
            <w:tcMar>
              <w:top w:w="0" w:type="dxa"/>
              <w:bottom w:w="0" w:type="dxa"/>
            </w:tcMar>
            <w:vAlign w:val="center"/>
          </w:tcPr>
          <w:p w14:paraId="05F2114B"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868" w:type="pct"/>
            <w:shd w:val="clear" w:color="auto" w:fill="auto"/>
            <w:tcMar>
              <w:top w:w="0" w:type="dxa"/>
              <w:bottom w:w="0" w:type="dxa"/>
            </w:tcMar>
            <w:vAlign w:val="center"/>
          </w:tcPr>
          <w:p w14:paraId="328E13C2"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858,000</w:t>
            </w:r>
          </w:p>
        </w:tc>
      </w:tr>
      <w:tr w:rsidR="00EB675E" w:rsidRPr="00814690" w14:paraId="6D75D4A8" w14:textId="77777777" w:rsidTr="009D1D78">
        <w:tc>
          <w:tcPr>
            <w:tcW w:w="349" w:type="pct"/>
            <w:shd w:val="clear" w:color="auto" w:fill="auto"/>
            <w:tcMar>
              <w:top w:w="0" w:type="dxa"/>
              <w:bottom w:w="0" w:type="dxa"/>
            </w:tcMar>
            <w:vAlign w:val="center"/>
          </w:tcPr>
          <w:p w14:paraId="72CD74AB"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3324" w:type="pct"/>
            <w:shd w:val="clear" w:color="auto" w:fill="auto"/>
            <w:tcMar>
              <w:top w:w="0" w:type="dxa"/>
              <w:bottom w:w="0" w:type="dxa"/>
            </w:tcMar>
            <w:vAlign w:val="center"/>
          </w:tcPr>
          <w:p w14:paraId="4F01AD3F" w14:textId="77777777" w:rsidR="00EB675E" w:rsidRPr="00814690" w:rsidRDefault="004C2BB8" w:rsidP="00C94BD4">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4690">
              <w:rPr>
                <w:rFonts w:ascii="Arial" w:hAnsi="Arial" w:cs="Arial"/>
                <w:color w:val="010000"/>
                <w:sz w:val="20"/>
              </w:rPr>
              <w:t>Profit before tax of the Holding company</w:t>
            </w:r>
          </w:p>
        </w:tc>
        <w:tc>
          <w:tcPr>
            <w:tcW w:w="459" w:type="pct"/>
            <w:shd w:val="clear" w:color="auto" w:fill="auto"/>
            <w:tcMar>
              <w:top w:w="0" w:type="dxa"/>
              <w:bottom w:w="0" w:type="dxa"/>
            </w:tcMar>
            <w:vAlign w:val="center"/>
          </w:tcPr>
          <w:p w14:paraId="0E601DBC"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868" w:type="pct"/>
            <w:shd w:val="clear" w:color="auto" w:fill="auto"/>
            <w:tcMar>
              <w:top w:w="0" w:type="dxa"/>
              <w:bottom w:w="0" w:type="dxa"/>
            </w:tcMar>
            <w:vAlign w:val="center"/>
          </w:tcPr>
          <w:p w14:paraId="18617297"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660,000</w:t>
            </w:r>
          </w:p>
        </w:tc>
      </w:tr>
      <w:tr w:rsidR="00EB675E" w:rsidRPr="00814690" w14:paraId="64F377D0" w14:textId="77777777" w:rsidTr="009D1D78">
        <w:tc>
          <w:tcPr>
            <w:tcW w:w="349" w:type="pct"/>
            <w:shd w:val="clear" w:color="auto" w:fill="auto"/>
            <w:tcMar>
              <w:top w:w="0" w:type="dxa"/>
              <w:bottom w:w="0" w:type="dxa"/>
            </w:tcMar>
            <w:vAlign w:val="center"/>
          </w:tcPr>
          <w:p w14:paraId="5C6C2E03"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4</w:t>
            </w:r>
          </w:p>
        </w:tc>
        <w:tc>
          <w:tcPr>
            <w:tcW w:w="3324" w:type="pct"/>
            <w:shd w:val="clear" w:color="auto" w:fill="auto"/>
            <w:tcMar>
              <w:top w:w="0" w:type="dxa"/>
              <w:bottom w:w="0" w:type="dxa"/>
            </w:tcMar>
            <w:vAlign w:val="center"/>
          </w:tcPr>
          <w:p w14:paraId="3D2E0208"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Profit after tax:</w:t>
            </w:r>
          </w:p>
        </w:tc>
        <w:tc>
          <w:tcPr>
            <w:tcW w:w="459" w:type="pct"/>
            <w:shd w:val="clear" w:color="auto" w:fill="auto"/>
            <w:tcMar>
              <w:top w:w="0" w:type="dxa"/>
              <w:bottom w:w="0" w:type="dxa"/>
            </w:tcMar>
            <w:vAlign w:val="center"/>
          </w:tcPr>
          <w:p w14:paraId="2910B7B0"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868" w:type="pct"/>
            <w:shd w:val="clear" w:color="auto" w:fill="auto"/>
            <w:tcMar>
              <w:top w:w="0" w:type="dxa"/>
              <w:bottom w:w="0" w:type="dxa"/>
            </w:tcMar>
            <w:vAlign w:val="center"/>
          </w:tcPr>
          <w:p w14:paraId="0163990F"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r>
      <w:tr w:rsidR="00EB675E" w:rsidRPr="00814690" w14:paraId="53B8FF98" w14:textId="77777777" w:rsidTr="009D1D78">
        <w:tc>
          <w:tcPr>
            <w:tcW w:w="349" w:type="pct"/>
            <w:shd w:val="clear" w:color="auto" w:fill="auto"/>
            <w:tcMar>
              <w:top w:w="0" w:type="dxa"/>
              <w:bottom w:w="0" w:type="dxa"/>
            </w:tcMar>
            <w:vAlign w:val="center"/>
          </w:tcPr>
          <w:p w14:paraId="6B485C93"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3324" w:type="pct"/>
            <w:shd w:val="clear" w:color="auto" w:fill="auto"/>
            <w:tcMar>
              <w:top w:w="0" w:type="dxa"/>
              <w:bottom w:w="0" w:type="dxa"/>
            </w:tcMar>
            <w:vAlign w:val="center"/>
          </w:tcPr>
          <w:p w14:paraId="52145BED" w14:textId="77777777" w:rsidR="00EB675E" w:rsidRPr="00814690" w:rsidRDefault="004C2BB8" w:rsidP="00C94BD4">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4690">
              <w:rPr>
                <w:rFonts w:ascii="Arial" w:hAnsi="Arial" w:cs="Arial"/>
                <w:color w:val="010000"/>
                <w:sz w:val="20"/>
              </w:rPr>
              <w:t>Consolidated profit after tax</w:t>
            </w:r>
          </w:p>
        </w:tc>
        <w:tc>
          <w:tcPr>
            <w:tcW w:w="459" w:type="pct"/>
            <w:shd w:val="clear" w:color="auto" w:fill="auto"/>
            <w:tcMar>
              <w:top w:w="0" w:type="dxa"/>
              <w:bottom w:w="0" w:type="dxa"/>
            </w:tcMar>
            <w:vAlign w:val="center"/>
          </w:tcPr>
          <w:p w14:paraId="72177BEB"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868" w:type="pct"/>
            <w:shd w:val="clear" w:color="auto" w:fill="auto"/>
            <w:tcMar>
              <w:top w:w="0" w:type="dxa"/>
              <w:bottom w:w="0" w:type="dxa"/>
            </w:tcMar>
            <w:vAlign w:val="center"/>
          </w:tcPr>
          <w:p w14:paraId="09F9EAFF"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660,000</w:t>
            </w:r>
          </w:p>
        </w:tc>
      </w:tr>
      <w:tr w:rsidR="00EB675E" w:rsidRPr="00814690" w14:paraId="7BCC356A" w14:textId="77777777" w:rsidTr="009D1D78">
        <w:tc>
          <w:tcPr>
            <w:tcW w:w="349" w:type="pct"/>
            <w:shd w:val="clear" w:color="auto" w:fill="auto"/>
            <w:tcMar>
              <w:top w:w="0" w:type="dxa"/>
              <w:bottom w:w="0" w:type="dxa"/>
            </w:tcMar>
            <w:vAlign w:val="center"/>
          </w:tcPr>
          <w:p w14:paraId="7B324494"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3324" w:type="pct"/>
            <w:shd w:val="clear" w:color="auto" w:fill="auto"/>
            <w:tcMar>
              <w:top w:w="0" w:type="dxa"/>
              <w:bottom w:w="0" w:type="dxa"/>
            </w:tcMar>
            <w:vAlign w:val="center"/>
          </w:tcPr>
          <w:p w14:paraId="527DE437" w14:textId="77777777" w:rsidR="00EB675E" w:rsidRPr="00814690" w:rsidRDefault="004C2BB8" w:rsidP="00C94BD4">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4690">
              <w:rPr>
                <w:rFonts w:ascii="Arial" w:hAnsi="Arial" w:cs="Arial"/>
                <w:color w:val="010000"/>
                <w:sz w:val="20"/>
              </w:rPr>
              <w:t>Profit after tax of the Holding Company</w:t>
            </w:r>
          </w:p>
        </w:tc>
        <w:tc>
          <w:tcPr>
            <w:tcW w:w="459" w:type="pct"/>
            <w:shd w:val="clear" w:color="auto" w:fill="auto"/>
            <w:tcMar>
              <w:top w:w="0" w:type="dxa"/>
              <w:bottom w:w="0" w:type="dxa"/>
            </w:tcMar>
            <w:vAlign w:val="center"/>
          </w:tcPr>
          <w:p w14:paraId="42A8F4F6"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868" w:type="pct"/>
            <w:shd w:val="clear" w:color="auto" w:fill="auto"/>
            <w:tcMar>
              <w:top w:w="0" w:type="dxa"/>
              <w:bottom w:w="0" w:type="dxa"/>
            </w:tcMar>
            <w:vAlign w:val="center"/>
          </w:tcPr>
          <w:p w14:paraId="66CA592E"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465,000</w:t>
            </w:r>
          </w:p>
        </w:tc>
      </w:tr>
      <w:tr w:rsidR="00EB675E" w:rsidRPr="00814690" w14:paraId="49A25CA8" w14:textId="77777777" w:rsidTr="009D1D78">
        <w:tc>
          <w:tcPr>
            <w:tcW w:w="349" w:type="pct"/>
            <w:shd w:val="clear" w:color="auto" w:fill="auto"/>
            <w:tcMar>
              <w:top w:w="0" w:type="dxa"/>
              <w:bottom w:w="0" w:type="dxa"/>
            </w:tcMar>
            <w:vAlign w:val="center"/>
          </w:tcPr>
          <w:p w14:paraId="642A1F70"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5</w:t>
            </w:r>
          </w:p>
        </w:tc>
        <w:tc>
          <w:tcPr>
            <w:tcW w:w="3324" w:type="pct"/>
            <w:shd w:val="clear" w:color="auto" w:fill="auto"/>
            <w:tcMar>
              <w:top w:w="0" w:type="dxa"/>
              <w:bottom w:w="0" w:type="dxa"/>
            </w:tcMar>
            <w:vAlign w:val="center"/>
          </w:tcPr>
          <w:p w14:paraId="3F04F650"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Undistributed profits transferred from the previous year</w:t>
            </w:r>
          </w:p>
        </w:tc>
        <w:tc>
          <w:tcPr>
            <w:tcW w:w="459" w:type="pct"/>
            <w:shd w:val="clear" w:color="auto" w:fill="auto"/>
            <w:tcMar>
              <w:top w:w="0" w:type="dxa"/>
              <w:bottom w:w="0" w:type="dxa"/>
            </w:tcMar>
            <w:vAlign w:val="center"/>
          </w:tcPr>
          <w:p w14:paraId="3C6A20BF"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868" w:type="pct"/>
            <w:shd w:val="clear" w:color="auto" w:fill="auto"/>
            <w:tcMar>
              <w:top w:w="0" w:type="dxa"/>
              <w:bottom w:w="0" w:type="dxa"/>
            </w:tcMar>
            <w:vAlign w:val="center"/>
          </w:tcPr>
          <w:p w14:paraId="4E771661"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249,483</w:t>
            </w:r>
          </w:p>
        </w:tc>
      </w:tr>
      <w:tr w:rsidR="00EB675E" w:rsidRPr="00814690" w14:paraId="0490CCB2" w14:textId="77777777" w:rsidTr="009D1D78">
        <w:tc>
          <w:tcPr>
            <w:tcW w:w="349" w:type="pct"/>
            <w:shd w:val="clear" w:color="auto" w:fill="auto"/>
            <w:tcMar>
              <w:top w:w="0" w:type="dxa"/>
              <w:bottom w:w="0" w:type="dxa"/>
            </w:tcMar>
            <w:vAlign w:val="center"/>
          </w:tcPr>
          <w:p w14:paraId="74C97591"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6</w:t>
            </w:r>
          </w:p>
        </w:tc>
        <w:tc>
          <w:tcPr>
            <w:tcW w:w="3324" w:type="pct"/>
            <w:shd w:val="clear" w:color="auto" w:fill="auto"/>
            <w:tcMar>
              <w:top w:w="0" w:type="dxa"/>
              <w:bottom w:w="0" w:type="dxa"/>
            </w:tcMar>
            <w:vAlign w:val="center"/>
          </w:tcPr>
          <w:p w14:paraId="6FB02206"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Distributed profit of the Holding Company:</w:t>
            </w:r>
          </w:p>
        </w:tc>
        <w:tc>
          <w:tcPr>
            <w:tcW w:w="459" w:type="pct"/>
            <w:shd w:val="clear" w:color="auto" w:fill="auto"/>
            <w:tcMar>
              <w:top w:w="0" w:type="dxa"/>
              <w:bottom w:w="0" w:type="dxa"/>
            </w:tcMar>
            <w:vAlign w:val="center"/>
          </w:tcPr>
          <w:p w14:paraId="5316452D"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868" w:type="pct"/>
            <w:shd w:val="clear" w:color="auto" w:fill="auto"/>
            <w:tcMar>
              <w:top w:w="0" w:type="dxa"/>
              <w:bottom w:w="0" w:type="dxa"/>
            </w:tcMar>
            <w:vAlign w:val="center"/>
          </w:tcPr>
          <w:p w14:paraId="1868B913"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r>
      <w:tr w:rsidR="00EB675E" w:rsidRPr="00814690" w14:paraId="2AA1C5AF" w14:textId="77777777" w:rsidTr="009D1D78">
        <w:tc>
          <w:tcPr>
            <w:tcW w:w="349" w:type="pct"/>
            <w:shd w:val="clear" w:color="auto" w:fill="auto"/>
            <w:tcMar>
              <w:top w:w="0" w:type="dxa"/>
              <w:bottom w:w="0" w:type="dxa"/>
            </w:tcMar>
            <w:vAlign w:val="center"/>
          </w:tcPr>
          <w:p w14:paraId="42098462"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3324" w:type="pct"/>
            <w:shd w:val="clear" w:color="auto" w:fill="auto"/>
            <w:tcMar>
              <w:top w:w="0" w:type="dxa"/>
              <w:bottom w:w="0" w:type="dxa"/>
            </w:tcMar>
            <w:vAlign w:val="center"/>
          </w:tcPr>
          <w:p w14:paraId="02287487" w14:textId="77777777" w:rsidR="00EB675E" w:rsidRPr="00814690" w:rsidRDefault="004C2BB8" w:rsidP="00C94BD4">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4690">
              <w:rPr>
                <w:rFonts w:ascii="Arial" w:hAnsi="Arial" w:cs="Arial"/>
                <w:color w:val="010000"/>
                <w:sz w:val="20"/>
              </w:rPr>
              <w:t>Dividends</w:t>
            </w:r>
          </w:p>
        </w:tc>
        <w:tc>
          <w:tcPr>
            <w:tcW w:w="459" w:type="pct"/>
            <w:shd w:val="clear" w:color="auto" w:fill="auto"/>
            <w:tcMar>
              <w:top w:w="0" w:type="dxa"/>
              <w:bottom w:w="0" w:type="dxa"/>
            </w:tcMar>
            <w:vAlign w:val="center"/>
          </w:tcPr>
          <w:p w14:paraId="650B191C"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7%</w:t>
            </w:r>
          </w:p>
        </w:tc>
        <w:tc>
          <w:tcPr>
            <w:tcW w:w="868" w:type="pct"/>
            <w:shd w:val="clear" w:color="auto" w:fill="auto"/>
            <w:tcMar>
              <w:top w:w="0" w:type="dxa"/>
              <w:bottom w:w="0" w:type="dxa"/>
            </w:tcMar>
            <w:vAlign w:val="center"/>
          </w:tcPr>
          <w:p w14:paraId="75CF3E9B"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334,576</w:t>
            </w:r>
          </w:p>
        </w:tc>
      </w:tr>
      <w:tr w:rsidR="00EB675E" w:rsidRPr="00814690" w14:paraId="3E156AD4" w14:textId="77777777" w:rsidTr="009D1D78">
        <w:tc>
          <w:tcPr>
            <w:tcW w:w="349" w:type="pct"/>
            <w:shd w:val="clear" w:color="auto" w:fill="auto"/>
            <w:tcMar>
              <w:top w:w="0" w:type="dxa"/>
              <w:bottom w:w="0" w:type="dxa"/>
            </w:tcMar>
            <w:vAlign w:val="center"/>
          </w:tcPr>
          <w:p w14:paraId="1B298A57"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3324" w:type="pct"/>
            <w:shd w:val="clear" w:color="auto" w:fill="auto"/>
            <w:tcMar>
              <w:top w:w="0" w:type="dxa"/>
              <w:bottom w:w="0" w:type="dxa"/>
            </w:tcMar>
            <w:vAlign w:val="center"/>
          </w:tcPr>
          <w:p w14:paraId="23ACF530" w14:textId="77777777" w:rsidR="00EB675E" w:rsidRPr="00814690" w:rsidRDefault="004C2BB8" w:rsidP="00C94BD4">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4690">
              <w:rPr>
                <w:rFonts w:ascii="Arial" w:hAnsi="Arial" w:cs="Arial"/>
                <w:color w:val="010000"/>
                <w:sz w:val="20"/>
              </w:rPr>
              <w:t>Bonus and welfare fund</w:t>
            </w:r>
            <w:r w:rsidR="000A37AE" w:rsidRPr="00814690">
              <w:rPr>
                <w:rFonts w:ascii="Arial" w:hAnsi="Arial" w:cs="Arial"/>
                <w:color w:val="010000"/>
                <w:sz w:val="20"/>
              </w:rPr>
              <w:t>s</w:t>
            </w:r>
            <w:r w:rsidRPr="00814690">
              <w:rPr>
                <w:rFonts w:ascii="Arial" w:hAnsi="Arial" w:cs="Arial"/>
                <w:color w:val="010000"/>
                <w:sz w:val="20"/>
              </w:rPr>
              <w:t xml:space="preserve"> and Bonus fund for the Executive Board (*)</w:t>
            </w:r>
          </w:p>
        </w:tc>
        <w:tc>
          <w:tcPr>
            <w:tcW w:w="459" w:type="pct"/>
            <w:shd w:val="clear" w:color="auto" w:fill="auto"/>
            <w:tcMar>
              <w:top w:w="0" w:type="dxa"/>
              <w:bottom w:w="0" w:type="dxa"/>
            </w:tcMar>
            <w:vAlign w:val="center"/>
          </w:tcPr>
          <w:p w14:paraId="3D46F426"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868" w:type="pct"/>
            <w:shd w:val="clear" w:color="auto" w:fill="auto"/>
            <w:tcMar>
              <w:top w:w="0" w:type="dxa"/>
              <w:bottom w:w="0" w:type="dxa"/>
            </w:tcMar>
            <w:vAlign w:val="center"/>
          </w:tcPr>
          <w:p w14:paraId="66113B1B"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140,000</w:t>
            </w:r>
          </w:p>
        </w:tc>
      </w:tr>
      <w:tr w:rsidR="00EB675E" w:rsidRPr="00814690" w14:paraId="665696FD" w14:textId="77777777" w:rsidTr="009D1D78">
        <w:tc>
          <w:tcPr>
            <w:tcW w:w="349" w:type="pct"/>
            <w:shd w:val="clear" w:color="auto" w:fill="auto"/>
            <w:tcMar>
              <w:top w:w="0" w:type="dxa"/>
              <w:bottom w:w="0" w:type="dxa"/>
            </w:tcMar>
            <w:vAlign w:val="center"/>
          </w:tcPr>
          <w:p w14:paraId="56B00FB2"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3324" w:type="pct"/>
            <w:shd w:val="clear" w:color="auto" w:fill="auto"/>
            <w:tcMar>
              <w:top w:w="0" w:type="dxa"/>
              <w:bottom w:w="0" w:type="dxa"/>
            </w:tcMar>
            <w:vAlign w:val="center"/>
          </w:tcPr>
          <w:p w14:paraId="3B5700D9" w14:textId="77777777" w:rsidR="00EB675E" w:rsidRPr="00814690" w:rsidRDefault="004C2BB8" w:rsidP="00C94BD4">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4690">
              <w:rPr>
                <w:rFonts w:ascii="Arial" w:hAnsi="Arial" w:cs="Arial"/>
                <w:color w:val="010000"/>
                <w:sz w:val="20"/>
              </w:rPr>
              <w:t>Investment and development fund (Remaining undistributed profit)</w:t>
            </w:r>
          </w:p>
        </w:tc>
        <w:tc>
          <w:tcPr>
            <w:tcW w:w="459" w:type="pct"/>
            <w:shd w:val="clear" w:color="auto" w:fill="auto"/>
            <w:tcMar>
              <w:top w:w="0" w:type="dxa"/>
              <w:bottom w:w="0" w:type="dxa"/>
            </w:tcMar>
            <w:vAlign w:val="center"/>
          </w:tcPr>
          <w:p w14:paraId="13C84EDD" w14:textId="77777777" w:rsidR="00EB675E" w:rsidRPr="00814690" w:rsidRDefault="00EB675E" w:rsidP="00C94BD4">
            <w:pPr>
              <w:tabs>
                <w:tab w:val="left" w:pos="432"/>
              </w:tabs>
              <w:spacing w:after="120" w:line="360" w:lineRule="auto"/>
              <w:jc w:val="both"/>
              <w:rPr>
                <w:rFonts w:ascii="Arial" w:eastAsia="Arial" w:hAnsi="Arial" w:cs="Arial"/>
                <w:color w:val="010000"/>
                <w:sz w:val="20"/>
                <w:szCs w:val="20"/>
              </w:rPr>
            </w:pPr>
          </w:p>
        </w:tc>
        <w:tc>
          <w:tcPr>
            <w:tcW w:w="868" w:type="pct"/>
            <w:shd w:val="clear" w:color="auto" w:fill="auto"/>
            <w:tcMar>
              <w:top w:w="0" w:type="dxa"/>
              <w:bottom w:w="0" w:type="dxa"/>
            </w:tcMar>
            <w:vAlign w:val="center"/>
          </w:tcPr>
          <w:p w14:paraId="06863973"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239,907</w:t>
            </w:r>
          </w:p>
        </w:tc>
      </w:tr>
    </w:tbl>
    <w:p w14:paraId="22EB5A2E" w14:textId="77777777" w:rsidR="00EB675E" w:rsidRPr="00814690" w:rsidRDefault="004C2BB8" w:rsidP="00C94BD4">
      <w:pPr>
        <w:numPr>
          <w:ilvl w:val="0"/>
          <w:numId w:val="10"/>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814690">
        <w:rPr>
          <w:rFonts w:ascii="Arial" w:hAnsi="Arial" w:cs="Arial"/>
          <w:color w:val="010000"/>
          <w:sz w:val="20"/>
        </w:rPr>
        <w:t>Bonus and welfare fund</w:t>
      </w:r>
      <w:r w:rsidR="000A37AE" w:rsidRPr="00814690">
        <w:rPr>
          <w:rFonts w:ascii="Arial" w:hAnsi="Arial" w:cs="Arial"/>
          <w:color w:val="010000"/>
          <w:sz w:val="20"/>
        </w:rPr>
        <w:t>s</w:t>
      </w:r>
      <w:r w:rsidRPr="00814690">
        <w:rPr>
          <w:rFonts w:ascii="Arial" w:hAnsi="Arial" w:cs="Arial"/>
          <w:color w:val="010000"/>
          <w:sz w:val="20"/>
        </w:rPr>
        <w:t xml:space="preserve"> and Bonus fund for the Executive Board are appropriated in accordance with the current provisions of law, </w:t>
      </w:r>
      <w:r w:rsidR="000A37AE" w:rsidRPr="00814690">
        <w:rPr>
          <w:rFonts w:ascii="Arial" w:hAnsi="Arial" w:cs="Arial"/>
          <w:color w:val="010000"/>
          <w:sz w:val="20"/>
        </w:rPr>
        <w:t xml:space="preserve">the current </w:t>
      </w:r>
      <w:r w:rsidRPr="00814690">
        <w:rPr>
          <w:rFonts w:ascii="Arial" w:hAnsi="Arial" w:cs="Arial"/>
          <w:color w:val="010000"/>
          <w:sz w:val="20"/>
        </w:rPr>
        <w:t>Charter and Internal Regulations of the Corporation.</w:t>
      </w:r>
    </w:p>
    <w:p w14:paraId="39EF4A43"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 xml:space="preserve">‎‎Article 5. </w:t>
      </w:r>
      <w:r w:rsidR="000A37AE" w:rsidRPr="00814690">
        <w:rPr>
          <w:rFonts w:ascii="Arial" w:hAnsi="Arial" w:cs="Arial"/>
          <w:color w:val="010000"/>
          <w:sz w:val="20"/>
        </w:rPr>
        <w:t>Approve the list of audit c</w:t>
      </w:r>
      <w:r w:rsidRPr="00814690">
        <w:rPr>
          <w:rFonts w:ascii="Arial" w:hAnsi="Arial" w:cs="Arial"/>
          <w:color w:val="010000"/>
          <w:sz w:val="20"/>
        </w:rPr>
        <w:t xml:space="preserve">ompanies and authorize the Board of Directors of the Corporation to select an audit company for the Corporation's Financial Statements 2024 in the </w:t>
      </w:r>
      <w:r w:rsidR="000A37AE" w:rsidRPr="00814690">
        <w:rPr>
          <w:rFonts w:ascii="Arial" w:hAnsi="Arial" w:cs="Arial"/>
          <w:color w:val="010000"/>
          <w:sz w:val="20"/>
        </w:rPr>
        <w:t>l</w:t>
      </w:r>
      <w:r w:rsidRPr="00814690">
        <w:rPr>
          <w:rFonts w:ascii="Arial" w:hAnsi="Arial" w:cs="Arial"/>
          <w:color w:val="010000"/>
          <w:sz w:val="20"/>
        </w:rPr>
        <w:t xml:space="preserve">ist of </w:t>
      </w:r>
      <w:r w:rsidR="000A37AE" w:rsidRPr="00814690">
        <w:rPr>
          <w:rFonts w:ascii="Arial" w:hAnsi="Arial" w:cs="Arial"/>
          <w:color w:val="010000"/>
          <w:sz w:val="20"/>
        </w:rPr>
        <w:t>a</w:t>
      </w:r>
      <w:r w:rsidRPr="00814690">
        <w:rPr>
          <w:rFonts w:ascii="Arial" w:hAnsi="Arial" w:cs="Arial"/>
          <w:color w:val="010000"/>
          <w:sz w:val="20"/>
        </w:rPr>
        <w:t xml:space="preserve">udit </w:t>
      </w:r>
      <w:r w:rsidR="000A37AE" w:rsidRPr="00814690">
        <w:rPr>
          <w:rFonts w:ascii="Arial" w:hAnsi="Arial" w:cs="Arial"/>
          <w:color w:val="010000"/>
          <w:sz w:val="20"/>
        </w:rPr>
        <w:t>c</w:t>
      </w:r>
      <w:r w:rsidRPr="00814690">
        <w:rPr>
          <w:rFonts w:ascii="Arial" w:hAnsi="Arial" w:cs="Arial"/>
          <w:color w:val="010000"/>
          <w:sz w:val="20"/>
        </w:rPr>
        <w:t>ompanies, ensuring compliance with current Regulations.</w:t>
      </w:r>
    </w:p>
    <w:p w14:paraId="2C00C4FB"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 xml:space="preserve">‎‎Article 6. </w:t>
      </w:r>
      <w:r w:rsidR="00EB7191" w:rsidRPr="00814690">
        <w:rPr>
          <w:rFonts w:ascii="Arial" w:hAnsi="Arial" w:cs="Arial"/>
          <w:color w:val="010000"/>
          <w:sz w:val="20"/>
        </w:rPr>
        <w:t>Approve the r</w:t>
      </w:r>
      <w:r w:rsidRPr="00814690">
        <w:rPr>
          <w:rFonts w:ascii="Arial" w:hAnsi="Arial" w:cs="Arial"/>
          <w:color w:val="010000"/>
          <w:sz w:val="20"/>
        </w:rPr>
        <w:t>emuneration</w:t>
      </w:r>
      <w:r w:rsidR="00EB7191" w:rsidRPr="00814690">
        <w:rPr>
          <w:rFonts w:ascii="Arial" w:hAnsi="Arial" w:cs="Arial"/>
          <w:color w:val="010000"/>
          <w:sz w:val="20"/>
        </w:rPr>
        <w:t xml:space="preserve"> and operating expenses of the m</w:t>
      </w:r>
      <w:r w:rsidRPr="00814690">
        <w:rPr>
          <w:rFonts w:ascii="Arial" w:hAnsi="Arial" w:cs="Arial"/>
          <w:color w:val="010000"/>
          <w:sz w:val="20"/>
        </w:rPr>
        <w:t>embers of the Board of Directors and Supervisors in 2024, specifically as stated below.</w:t>
      </w:r>
    </w:p>
    <w:p w14:paraId="3491A674" w14:textId="77777777" w:rsidR="00EB675E" w:rsidRPr="00814690" w:rsidRDefault="004C2BB8" w:rsidP="00C94BD4">
      <w:pPr>
        <w:numPr>
          <w:ilvl w:val="0"/>
          <w:numId w:val="2"/>
        </w:numPr>
        <w:pBdr>
          <w:top w:val="nil"/>
          <w:left w:val="nil"/>
          <w:bottom w:val="nil"/>
          <w:right w:val="nil"/>
          <w:between w:val="nil"/>
        </w:pBdr>
        <w:tabs>
          <w:tab w:val="left" w:pos="432"/>
          <w:tab w:val="left" w:pos="1478"/>
        </w:tabs>
        <w:spacing w:after="120" w:line="360" w:lineRule="auto"/>
        <w:jc w:val="both"/>
        <w:rPr>
          <w:rFonts w:ascii="Arial" w:eastAsia="Arial" w:hAnsi="Arial" w:cs="Arial"/>
          <w:color w:val="010000"/>
          <w:sz w:val="20"/>
          <w:szCs w:val="20"/>
        </w:rPr>
      </w:pPr>
      <w:r w:rsidRPr="00814690">
        <w:rPr>
          <w:rFonts w:ascii="Arial" w:hAnsi="Arial" w:cs="Arial"/>
          <w:color w:val="010000"/>
          <w:sz w:val="20"/>
        </w:rPr>
        <w:t>Salary, remuneration and allowance fund for the Board of Directors and the Supervisory Board in 2024:</w:t>
      </w:r>
    </w:p>
    <w:p w14:paraId="52AB7EBD" w14:textId="77777777" w:rsidR="00EB675E" w:rsidRPr="00814690" w:rsidRDefault="004C2BB8" w:rsidP="00C94BD4">
      <w:pPr>
        <w:numPr>
          <w:ilvl w:val="0"/>
          <w:numId w:val="3"/>
        </w:numPr>
        <w:pBdr>
          <w:top w:val="nil"/>
          <w:left w:val="nil"/>
          <w:bottom w:val="nil"/>
          <w:right w:val="nil"/>
          <w:between w:val="nil"/>
        </w:pBdr>
        <w:tabs>
          <w:tab w:val="left" w:pos="432"/>
          <w:tab w:val="left" w:pos="1497"/>
        </w:tabs>
        <w:spacing w:after="120" w:line="360" w:lineRule="auto"/>
        <w:jc w:val="both"/>
        <w:rPr>
          <w:rFonts w:ascii="Arial" w:eastAsia="Arial" w:hAnsi="Arial" w:cs="Arial"/>
          <w:color w:val="010000"/>
          <w:sz w:val="20"/>
          <w:szCs w:val="20"/>
        </w:rPr>
      </w:pPr>
      <w:r w:rsidRPr="00814690">
        <w:rPr>
          <w:rFonts w:ascii="Arial" w:hAnsi="Arial" w:cs="Arial"/>
          <w:color w:val="010000"/>
          <w:sz w:val="20"/>
        </w:rPr>
        <w:t>The salary and remuneration fund for the Board of Directors is VND6,101,000,000, equivalent to the number of members of the Board of Directors is 05 people (including 01</w:t>
      </w:r>
      <w:r w:rsidR="00EB7191" w:rsidRPr="00814690">
        <w:rPr>
          <w:rFonts w:ascii="Arial" w:hAnsi="Arial" w:cs="Arial"/>
          <w:color w:val="010000"/>
          <w:sz w:val="20"/>
        </w:rPr>
        <w:t xml:space="preserve"> executive m</w:t>
      </w:r>
      <w:r w:rsidRPr="00814690">
        <w:rPr>
          <w:rFonts w:ascii="Arial" w:hAnsi="Arial" w:cs="Arial"/>
          <w:color w:val="010000"/>
          <w:sz w:val="20"/>
        </w:rPr>
        <w:t>ember of the Board of Directors);</w:t>
      </w:r>
    </w:p>
    <w:p w14:paraId="182A0742" w14:textId="77777777" w:rsidR="00EB675E" w:rsidRPr="00814690" w:rsidRDefault="00EB7191" w:rsidP="00C94BD4">
      <w:pPr>
        <w:numPr>
          <w:ilvl w:val="0"/>
          <w:numId w:val="3"/>
        </w:numPr>
        <w:pBdr>
          <w:top w:val="nil"/>
          <w:left w:val="nil"/>
          <w:bottom w:val="nil"/>
          <w:right w:val="nil"/>
          <w:between w:val="nil"/>
        </w:pBdr>
        <w:tabs>
          <w:tab w:val="left" w:pos="432"/>
          <w:tab w:val="left" w:pos="1487"/>
        </w:tabs>
        <w:spacing w:after="120" w:line="360" w:lineRule="auto"/>
        <w:jc w:val="both"/>
        <w:rPr>
          <w:rFonts w:ascii="Arial" w:eastAsia="Arial" w:hAnsi="Arial" w:cs="Arial"/>
          <w:color w:val="010000"/>
          <w:sz w:val="20"/>
          <w:szCs w:val="20"/>
        </w:rPr>
      </w:pPr>
      <w:r w:rsidRPr="00814690">
        <w:rPr>
          <w:rFonts w:ascii="Arial" w:hAnsi="Arial" w:cs="Arial"/>
          <w:color w:val="010000"/>
          <w:sz w:val="20"/>
        </w:rPr>
        <w:t>The salary fund for the e</w:t>
      </w:r>
      <w:r w:rsidR="004C2BB8" w:rsidRPr="00814690">
        <w:rPr>
          <w:rFonts w:ascii="Arial" w:hAnsi="Arial" w:cs="Arial"/>
          <w:color w:val="010000"/>
          <w:sz w:val="20"/>
        </w:rPr>
        <w:t>xecutive Supervisory Board is VND2,467,000,000, equivalent to the number of Supervisors is 03 people;</w:t>
      </w:r>
    </w:p>
    <w:p w14:paraId="1F65265A" w14:textId="77777777" w:rsidR="00EB675E" w:rsidRPr="00814690" w:rsidRDefault="00EB7191" w:rsidP="00C94BD4">
      <w:pPr>
        <w:numPr>
          <w:ilvl w:val="0"/>
          <w:numId w:val="3"/>
        </w:numPr>
        <w:pBdr>
          <w:top w:val="nil"/>
          <w:left w:val="nil"/>
          <w:bottom w:val="nil"/>
          <w:right w:val="nil"/>
          <w:between w:val="nil"/>
        </w:pBdr>
        <w:tabs>
          <w:tab w:val="left" w:pos="432"/>
          <w:tab w:val="left" w:pos="1487"/>
        </w:tabs>
        <w:spacing w:after="120" w:line="360" w:lineRule="auto"/>
        <w:jc w:val="both"/>
        <w:rPr>
          <w:rFonts w:ascii="Arial" w:eastAsia="Arial" w:hAnsi="Arial" w:cs="Arial"/>
          <w:color w:val="010000"/>
          <w:sz w:val="20"/>
          <w:szCs w:val="20"/>
        </w:rPr>
      </w:pPr>
      <w:r w:rsidRPr="00814690">
        <w:rPr>
          <w:rFonts w:ascii="Arial" w:hAnsi="Arial" w:cs="Arial"/>
          <w:color w:val="010000"/>
          <w:sz w:val="20"/>
        </w:rPr>
        <w:t>Allowance for independent m</w:t>
      </w:r>
      <w:r w:rsidR="004C2BB8" w:rsidRPr="00814690">
        <w:rPr>
          <w:rFonts w:ascii="Arial" w:hAnsi="Arial" w:cs="Arial"/>
          <w:color w:val="010000"/>
          <w:sz w:val="20"/>
        </w:rPr>
        <w:t>embers of the Board of Directors is VND15,000,000/person/month;</w:t>
      </w:r>
    </w:p>
    <w:p w14:paraId="067D0717" w14:textId="77777777" w:rsidR="00EB675E" w:rsidRPr="00814690" w:rsidRDefault="00EB7191" w:rsidP="00C94BD4">
      <w:pPr>
        <w:numPr>
          <w:ilvl w:val="0"/>
          <w:numId w:val="3"/>
        </w:numPr>
        <w:pBdr>
          <w:top w:val="nil"/>
          <w:left w:val="nil"/>
          <w:bottom w:val="nil"/>
          <w:right w:val="nil"/>
          <w:between w:val="nil"/>
        </w:pBdr>
        <w:tabs>
          <w:tab w:val="left" w:pos="432"/>
          <w:tab w:val="left" w:pos="1487"/>
        </w:tabs>
        <w:spacing w:after="120" w:line="360" w:lineRule="auto"/>
        <w:jc w:val="both"/>
        <w:rPr>
          <w:rFonts w:ascii="Arial" w:eastAsia="Arial" w:hAnsi="Arial" w:cs="Arial"/>
          <w:color w:val="010000"/>
          <w:sz w:val="20"/>
          <w:szCs w:val="20"/>
        </w:rPr>
      </w:pPr>
      <w:r w:rsidRPr="00814690">
        <w:rPr>
          <w:rFonts w:ascii="Arial" w:hAnsi="Arial" w:cs="Arial"/>
          <w:color w:val="010000"/>
          <w:sz w:val="20"/>
        </w:rPr>
        <w:t>Remuneration for executive m</w:t>
      </w:r>
      <w:r w:rsidR="004C2BB8" w:rsidRPr="00814690">
        <w:rPr>
          <w:rFonts w:ascii="Arial" w:hAnsi="Arial" w:cs="Arial"/>
          <w:color w:val="010000"/>
          <w:sz w:val="20"/>
        </w:rPr>
        <w:t>embers of the Board of Directors is VND15,000,000/person/month.</w:t>
      </w:r>
    </w:p>
    <w:p w14:paraId="0585C045" w14:textId="77777777" w:rsidR="00EB675E" w:rsidRPr="00814690" w:rsidRDefault="004C2BB8" w:rsidP="00C94BD4">
      <w:pPr>
        <w:numPr>
          <w:ilvl w:val="0"/>
          <w:numId w:val="2"/>
        </w:numPr>
        <w:pBdr>
          <w:top w:val="nil"/>
          <w:left w:val="nil"/>
          <w:bottom w:val="nil"/>
          <w:right w:val="nil"/>
          <w:between w:val="nil"/>
        </w:pBdr>
        <w:tabs>
          <w:tab w:val="left" w:pos="432"/>
          <w:tab w:val="left" w:pos="1478"/>
        </w:tabs>
        <w:spacing w:after="120" w:line="360" w:lineRule="auto"/>
        <w:jc w:val="both"/>
        <w:rPr>
          <w:rFonts w:ascii="Arial" w:eastAsia="Arial" w:hAnsi="Arial" w:cs="Arial"/>
          <w:color w:val="010000"/>
          <w:sz w:val="20"/>
          <w:szCs w:val="20"/>
        </w:rPr>
      </w:pPr>
      <w:r w:rsidRPr="00814690">
        <w:rPr>
          <w:rFonts w:ascii="Arial" w:hAnsi="Arial" w:cs="Arial"/>
          <w:color w:val="010000"/>
          <w:sz w:val="20"/>
        </w:rPr>
        <w:t xml:space="preserve">Operating expenses of the Board of Directors and the Supervisory Board in 2024: </w:t>
      </w:r>
      <w:r w:rsidR="00EB7191" w:rsidRPr="00814690">
        <w:rPr>
          <w:rFonts w:ascii="Arial" w:hAnsi="Arial" w:cs="Arial"/>
          <w:color w:val="010000"/>
          <w:sz w:val="20"/>
          <w:lang w:val="vi-VN"/>
        </w:rPr>
        <w:t xml:space="preserve">Civil </w:t>
      </w:r>
      <w:r w:rsidR="00EB7191" w:rsidRPr="00814690">
        <w:rPr>
          <w:rFonts w:ascii="Arial" w:hAnsi="Arial" w:cs="Arial"/>
          <w:color w:val="010000"/>
          <w:sz w:val="20"/>
        </w:rPr>
        <w:t>service expenses</w:t>
      </w:r>
      <w:r w:rsidRPr="00814690">
        <w:rPr>
          <w:rFonts w:ascii="Arial" w:hAnsi="Arial" w:cs="Arial"/>
          <w:color w:val="010000"/>
          <w:sz w:val="20"/>
        </w:rPr>
        <w:t xml:space="preserve"> (including travel expenses, meals, hotel stays, working tools/facilities, foreign affairs </w:t>
      </w:r>
      <w:r w:rsidR="00EB7191" w:rsidRPr="00814690">
        <w:rPr>
          <w:rFonts w:ascii="Arial" w:hAnsi="Arial" w:cs="Arial"/>
          <w:color w:val="010000"/>
          <w:sz w:val="20"/>
        </w:rPr>
        <w:t xml:space="preserve">activities, etc.) </w:t>
      </w:r>
      <w:r w:rsidRPr="00814690">
        <w:rPr>
          <w:rFonts w:ascii="Arial" w:hAnsi="Arial" w:cs="Arial"/>
          <w:color w:val="010000"/>
          <w:sz w:val="20"/>
        </w:rPr>
        <w:t xml:space="preserve">and other reasonable expenses to carry out assigned tasks pursuant to the Corporation's </w:t>
      </w:r>
      <w:r w:rsidRPr="00814690">
        <w:rPr>
          <w:rFonts w:ascii="Arial" w:hAnsi="Arial" w:cs="Arial"/>
          <w:color w:val="010000"/>
          <w:sz w:val="20"/>
        </w:rPr>
        <w:lastRenderedPageBreak/>
        <w:t>internal regulations and current Regulations.</w:t>
      </w:r>
    </w:p>
    <w:p w14:paraId="772DD268"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‎‎Article 7. Approve the Plan on merging PTSC Geos and Subsea Services Company Ltd into the Corporation, specifically stated below.</w:t>
      </w:r>
    </w:p>
    <w:p w14:paraId="33EDDA97" w14:textId="77777777" w:rsidR="00EB675E" w:rsidRPr="00814690" w:rsidRDefault="004C2BB8" w:rsidP="00C94BD4">
      <w:pPr>
        <w:numPr>
          <w:ilvl w:val="0"/>
          <w:numId w:val="4"/>
        </w:numPr>
        <w:pBdr>
          <w:top w:val="nil"/>
          <w:left w:val="nil"/>
          <w:bottom w:val="nil"/>
          <w:right w:val="nil"/>
          <w:between w:val="nil"/>
        </w:pBdr>
        <w:tabs>
          <w:tab w:val="left" w:pos="432"/>
          <w:tab w:val="left" w:pos="1635"/>
        </w:tabs>
        <w:spacing w:after="120" w:line="360" w:lineRule="auto"/>
        <w:jc w:val="both"/>
        <w:rPr>
          <w:rFonts w:ascii="Arial" w:eastAsia="Arial" w:hAnsi="Arial" w:cs="Arial"/>
          <w:color w:val="010000"/>
          <w:sz w:val="20"/>
          <w:szCs w:val="20"/>
        </w:rPr>
      </w:pPr>
      <w:r w:rsidRPr="00814690">
        <w:rPr>
          <w:rFonts w:ascii="Arial" w:hAnsi="Arial" w:cs="Arial"/>
          <w:color w:val="010000"/>
          <w:sz w:val="20"/>
        </w:rPr>
        <w:t xml:space="preserve">Main content of the </w:t>
      </w:r>
      <w:r w:rsidR="00EB7191" w:rsidRPr="00814690">
        <w:rPr>
          <w:rFonts w:ascii="Arial" w:hAnsi="Arial" w:cs="Arial"/>
          <w:color w:val="010000"/>
          <w:sz w:val="20"/>
          <w:lang w:val="vi-VN"/>
        </w:rPr>
        <w:t>Acquisition Agreement</w:t>
      </w:r>
    </w:p>
    <w:p w14:paraId="46E7A19B" w14:textId="77777777" w:rsidR="00EB675E" w:rsidRPr="00814690" w:rsidRDefault="004C2BB8" w:rsidP="00C94BD4">
      <w:pPr>
        <w:numPr>
          <w:ilvl w:val="0"/>
          <w:numId w:val="7"/>
        </w:numPr>
        <w:pBdr>
          <w:top w:val="nil"/>
          <w:left w:val="nil"/>
          <w:bottom w:val="nil"/>
          <w:right w:val="nil"/>
          <w:between w:val="nil"/>
        </w:pBdr>
        <w:tabs>
          <w:tab w:val="left" w:pos="432"/>
          <w:tab w:val="left" w:pos="1574"/>
        </w:tabs>
        <w:spacing w:after="120" w:line="360" w:lineRule="auto"/>
        <w:jc w:val="both"/>
        <w:rPr>
          <w:rFonts w:ascii="Arial" w:eastAsia="Arial" w:hAnsi="Arial" w:cs="Arial"/>
          <w:color w:val="010000"/>
          <w:sz w:val="20"/>
          <w:szCs w:val="20"/>
        </w:rPr>
      </w:pPr>
      <w:r w:rsidRPr="00814690">
        <w:rPr>
          <w:rFonts w:ascii="Arial" w:hAnsi="Arial" w:cs="Arial"/>
          <w:color w:val="010000"/>
          <w:sz w:val="20"/>
        </w:rPr>
        <w:t>Information of the merged Company</w:t>
      </w:r>
    </w:p>
    <w:p w14:paraId="3F2F8D7A" w14:textId="64D985F0" w:rsidR="00EB675E" w:rsidRPr="00814690" w:rsidRDefault="004C2BB8" w:rsidP="00C94BD4">
      <w:pPr>
        <w:numPr>
          <w:ilvl w:val="0"/>
          <w:numId w:val="3"/>
        </w:numPr>
        <w:pBdr>
          <w:top w:val="nil"/>
          <w:left w:val="nil"/>
          <w:bottom w:val="nil"/>
          <w:right w:val="nil"/>
          <w:between w:val="nil"/>
        </w:pBdr>
        <w:tabs>
          <w:tab w:val="left" w:pos="432"/>
          <w:tab w:val="left" w:pos="1514"/>
        </w:tabs>
        <w:spacing w:after="120" w:line="360" w:lineRule="auto"/>
        <w:jc w:val="both"/>
        <w:rPr>
          <w:rFonts w:ascii="Arial" w:eastAsia="Arial" w:hAnsi="Arial" w:cs="Arial"/>
          <w:color w:val="010000"/>
          <w:sz w:val="20"/>
          <w:szCs w:val="20"/>
        </w:rPr>
      </w:pPr>
      <w:r w:rsidRPr="00814690">
        <w:rPr>
          <w:rFonts w:ascii="Arial" w:hAnsi="Arial" w:cs="Arial"/>
          <w:color w:val="010000"/>
          <w:sz w:val="20"/>
        </w:rPr>
        <w:t>Vietnamese name: C</w:t>
      </w:r>
      <w:r w:rsidR="00EC7F96" w:rsidRPr="00814690">
        <w:rPr>
          <w:rFonts w:ascii="Arial" w:hAnsi="Arial" w:cs="Arial"/>
          <w:color w:val="010000"/>
          <w:sz w:val="20"/>
        </w:rPr>
        <w:t>ô</w:t>
      </w:r>
      <w:r w:rsidRPr="00814690">
        <w:rPr>
          <w:rFonts w:ascii="Arial" w:hAnsi="Arial" w:cs="Arial"/>
          <w:color w:val="010000"/>
          <w:sz w:val="20"/>
        </w:rPr>
        <w:t>ng ty TNHH MTV Dịch vụ Khảo sát và C</w:t>
      </w:r>
      <w:r w:rsidR="00EC7F96" w:rsidRPr="00814690">
        <w:rPr>
          <w:rFonts w:ascii="Arial" w:hAnsi="Arial" w:cs="Arial"/>
          <w:color w:val="010000"/>
          <w:sz w:val="20"/>
        </w:rPr>
        <w:t>ô</w:t>
      </w:r>
      <w:r w:rsidRPr="00814690">
        <w:rPr>
          <w:rFonts w:ascii="Arial" w:hAnsi="Arial" w:cs="Arial"/>
          <w:color w:val="010000"/>
          <w:sz w:val="20"/>
        </w:rPr>
        <w:t>ng trình ngầm PTSC;</w:t>
      </w:r>
    </w:p>
    <w:p w14:paraId="1E5356D1" w14:textId="77777777" w:rsidR="00EB675E" w:rsidRPr="00814690" w:rsidRDefault="004C2BB8" w:rsidP="00C94BD4">
      <w:pPr>
        <w:numPr>
          <w:ilvl w:val="0"/>
          <w:numId w:val="3"/>
        </w:numPr>
        <w:pBdr>
          <w:top w:val="nil"/>
          <w:left w:val="nil"/>
          <w:bottom w:val="nil"/>
          <w:right w:val="nil"/>
          <w:between w:val="nil"/>
        </w:pBdr>
        <w:tabs>
          <w:tab w:val="left" w:pos="432"/>
          <w:tab w:val="left" w:pos="1514"/>
        </w:tabs>
        <w:spacing w:after="120" w:line="360" w:lineRule="auto"/>
        <w:jc w:val="both"/>
        <w:rPr>
          <w:rFonts w:ascii="Arial" w:eastAsia="Arial" w:hAnsi="Arial" w:cs="Arial"/>
          <w:color w:val="010000"/>
          <w:sz w:val="20"/>
          <w:szCs w:val="20"/>
        </w:rPr>
      </w:pPr>
      <w:r w:rsidRPr="00814690">
        <w:rPr>
          <w:rFonts w:ascii="Arial" w:hAnsi="Arial" w:cs="Arial"/>
          <w:color w:val="010000"/>
          <w:sz w:val="20"/>
        </w:rPr>
        <w:t>Foreign language name: PTSC Geos and Subsea Services Company Ltd;</w:t>
      </w:r>
    </w:p>
    <w:p w14:paraId="7E364D10" w14:textId="77777777" w:rsidR="00EB675E" w:rsidRPr="00814690" w:rsidRDefault="004C2BB8" w:rsidP="00C94BD4">
      <w:pPr>
        <w:numPr>
          <w:ilvl w:val="0"/>
          <w:numId w:val="3"/>
        </w:numPr>
        <w:pBdr>
          <w:top w:val="nil"/>
          <w:left w:val="nil"/>
          <w:bottom w:val="nil"/>
          <w:right w:val="nil"/>
          <w:between w:val="nil"/>
        </w:pBdr>
        <w:tabs>
          <w:tab w:val="left" w:pos="432"/>
          <w:tab w:val="left" w:pos="1514"/>
        </w:tabs>
        <w:spacing w:after="120" w:line="360" w:lineRule="auto"/>
        <w:jc w:val="both"/>
        <w:rPr>
          <w:rFonts w:ascii="Arial" w:eastAsia="Arial" w:hAnsi="Arial" w:cs="Arial"/>
          <w:color w:val="010000"/>
          <w:sz w:val="20"/>
          <w:szCs w:val="20"/>
        </w:rPr>
      </w:pPr>
      <w:r w:rsidRPr="00814690">
        <w:rPr>
          <w:rFonts w:ascii="Arial" w:hAnsi="Arial" w:cs="Arial"/>
          <w:color w:val="010000"/>
          <w:sz w:val="20"/>
        </w:rPr>
        <w:t>Business code: 3501701562;</w:t>
      </w:r>
    </w:p>
    <w:p w14:paraId="04376769" w14:textId="77777777" w:rsidR="00EB675E" w:rsidRPr="00814690" w:rsidRDefault="004C2BB8" w:rsidP="00C94BD4">
      <w:pPr>
        <w:numPr>
          <w:ilvl w:val="0"/>
          <w:numId w:val="3"/>
        </w:numPr>
        <w:pBdr>
          <w:top w:val="nil"/>
          <w:left w:val="nil"/>
          <w:bottom w:val="nil"/>
          <w:right w:val="nil"/>
          <w:between w:val="nil"/>
        </w:pBdr>
        <w:tabs>
          <w:tab w:val="left" w:pos="432"/>
          <w:tab w:val="left" w:pos="1514"/>
        </w:tabs>
        <w:spacing w:after="120" w:line="360" w:lineRule="auto"/>
        <w:jc w:val="both"/>
        <w:rPr>
          <w:rFonts w:ascii="Arial" w:eastAsia="Arial" w:hAnsi="Arial" w:cs="Arial"/>
          <w:color w:val="010000"/>
          <w:sz w:val="20"/>
          <w:szCs w:val="20"/>
        </w:rPr>
      </w:pPr>
      <w:r w:rsidRPr="00814690">
        <w:rPr>
          <w:rFonts w:ascii="Arial" w:hAnsi="Arial" w:cs="Arial"/>
          <w:color w:val="010000"/>
          <w:sz w:val="20"/>
        </w:rPr>
        <w:t xml:space="preserve">Headquarters’ address: </w:t>
      </w:r>
      <w:r w:rsidR="00EB7191" w:rsidRPr="00814690">
        <w:rPr>
          <w:rFonts w:ascii="Arial" w:hAnsi="Arial" w:cs="Arial"/>
          <w:color w:val="010000"/>
          <w:sz w:val="20"/>
          <w:lang w:val="vi-VN"/>
        </w:rPr>
        <w:t>Petro Hotel Vung Tau</w:t>
      </w:r>
      <w:r w:rsidRPr="00814690">
        <w:rPr>
          <w:rFonts w:ascii="Arial" w:hAnsi="Arial" w:cs="Arial"/>
          <w:color w:val="010000"/>
          <w:sz w:val="20"/>
        </w:rPr>
        <w:t xml:space="preserve">, </w:t>
      </w:r>
      <w:r w:rsidR="00B00DE0" w:rsidRPr="00814690">
        <w:rPr>
          <w:rFonts w:ascii="Arial" w:hAnsi="Arial" w:cs="Arial"/>
          <w:color w:val="010000"/>
          <w:sz w:val="20"/>
        </w:rPr>
        <w:t xml:space="preserve">No. </w:t>
      </w:r>
      <w:r w:rsidRPr="00814690">
        <w:rPr>
          <w:rFonts w:ascii="Arial" w:hAnsi="Arial" w:cs="Arial"/>
          <w:color w:val="010000"/>
          <w:sz w:val="20"/>
        </w:rPr>
        <w:t>09 Hoang Dieu, Ward 1, Vung Tau City, Ba Ria - Vung Tau Province, Vietnam;</w:t>
      </w:r>
    </w:p>
    <w:p w14:paraId="5C86DFB7" w14:textId="77777777" w:rsidR="00EB675E" w:rsidRPr="00814690" w:rsidRDefault="004C2BB8" w:rsidP="00C94BD4">
      <w:pPr>
        <w:numPr>
          <w:ilvl w:val="0"/>
          <w:numId w:val="3"/>
        </w:numPr>
        <w:pBdr>
          <w:top w:val="nil"/>
          <w:left w:val="nil"/>
          <w:bottom w:val="nil"/>
          <w:right w:val="nil"/>
          <w:between w:val="nil"/>
        </w:pBdr>
        <w:tabs>
          <w:tab w:val="left" w:pos="432"/>
          <w:tab w:val="left" w:pos="1514"/>
        </w:tabs>
        <w:spacing w:after="120" w:line="360" w:lineRule="auto"/>
        <w:jc w:val="both"/>
        <w:rPr>
          <w:rFonts w:ascii="Arial" w:eastAsia="Arial" w:hAnsi="Arial" w:cs="Arial"/>
          <w:color w:val="010000"/>
          <w:sz w:val="20"/>
          <w:szCs w:val="20"/>
        </w:rPr>
      </w:pPr>
      <w:r w:rsidRPr="00814690">
        <w:rPr>
          <w:rFonts w:ascii="Arial" w:hAnsi="Arial" w:cs="Arial"/>
          <w:color w:val="010000"/>
          <w:sz w:val="20"/>
        </w:rPr>
        <w:t xml:space="preserve">Charter capital: VND300,000,000,000; </w:t>
      </w:r>
    </w:p>
    <w:p w14:paraId="3D414EA4" w14:textId="77777777" w:rsidR="00EB675E" w:rsidRPr="00814690" w:rsidRDefault="004C2BB8" w:rsidP="00C94BD4">
      <w:pPr>
        <w:numPr>
          <w:ilvl w:val="0"/>
          <w:numId w:val="3"/>
        </w:numPr>
        <w:pBdr>
          <w:top w:val="nil"/>
          <w:left w:val="nil"/>
          <w:bottom w:val="nil"/>
          <w:right w:val="nil"/>
          <w:between w:val="nil"/>
        </w:pBdr>
        <w:tabs>
          <w:tab w:val="left" w:pos="432"/>
          <w:tab w:val="left" w:pos="1514"/>
        </w:tabs>
        <w:spacing w:after="120" w:line="360" w:lineRule="auto"/>
        <w:jc w:val="both"/>
        <w:rPr>
          <w:rFonts w:ascii="Arial" w:eastAsia="Arial" w:hAnsi="Arial" w:cs="Arial"/>
          <w:color w:val="010000"/>
          <w:sz w:val="20"/>
          <w:szCs w:val="20"/>
        </w:rPr>
      </w:pPr>
      <w:r w:rsidRPr="00814690">
        <w:rPr>
          <w:rFonts w:ascii="Arial" w:hAnsi="Arial" w:cs="Arial"/>
          <w:color w:val="010000"/>
          <w:sz w:val="20"/>
        </w:rPr>
        <w:t>Owner: Petro Vietnam Technical Services Corporation</w:t>
      </w:r>
      <w:r w:rsidR="00EB7191" w:rsidRPr="00814690">
        <w:rPr>
          <w:rFonts w:ascii="Arial" w:hAnsi="Arial" w:cs="Arial"/>
          <w:color w:val="010000"/>
          <w:sz w:val="20"/>
        </w:rPr>
        <w:t xml:space="preserve"> is the </w:t>
      </w:r>
      <w:r w:rsidR="00EB7191" w:rsidRPr="00814690">
        <w:rPr>
          <w:rFonts w:ascii="Arial" w:hAnsi="Arial" w:cs="Arial"/>
          <w:color w:val="010000"/>
          <w:sz w:val="20"/>
          <w:lang w:val="vi-VN"/>
        </w:rPr>
        <w:t>o</w:t>
      </w:r>
      <w:r w:rsidRPr="00814690">
        <w:rPr>
          <w:rFonts w:ascii="Arial" w:hAnsi="Arial" w:cs="Arial"/>
          <w:color w:val="010000"/>
          <w:sz w:val="20"/>
        </w:rPr>
        <w:t xml:space="preserve">wner of 100% of </w:t>
      </w:r>
      <w:r w:rsidR="00EB7191" w:rsidRPr="00814690">
        <w:rPr>
          <w:rFonts w:ascii="Arial" w:hAnsi="Arial" w:cs="Arial"/>
          <w:color w:val="010000"/>
          <w:sz w:val="20"/>
        </w:rPr>
        <w:t xml:space="preserve">the </w:t>
      </w:r>
      <w:r w:rsidRPr="00814690">
        <w:rPr>
          <w:rFonts w:ascii="Arial" w:hAnsi="Arial" w:cs="Arial"/>
          <w:color w:val="010000"/>
          <w:sz w:val="20"/>
        </w:rPr>
        <w:t>charter capital;</w:t>
      </w:r>
    </w:p>
    <w:p w14:paraId="0D72B748" w14:textId="77777777" w:rsidR="00EB675E" w:rsidRPr="00814690" w:rsidRDefault="004C2BB8" w:rsidP="00C94BD4">
      <w:pPr>
        <w:numPr>
          <w:ilvl w:val="0"/>
          <w:numId w:val="7"/>
        </w:numPr>
        <w:pBdr>
          <w:top w:val="nil"/>
          <w:left w:val="nil"/>
          <w:bottom w:val="nil"/>
          <w:right w:val="nil"/>
          <w:between w:val="nil"/>
        </w:pBdr>
        <w:tabs>
          <w:tab w:val="left" w:pos="432"/>
          <w:tab w:val="left" w:pos="1588"/>
        </w:tabs>
        <w:spacing w:after="120" w:line="360" w:lineRule="auto"/>
        <w:jc w:val="both"/>
        <w:rPr>
          <w:rFonts w:ascii="Arial" w:eastAsia="Arial" w:hAnsi="Arial" w:cs="Arial"/>
          <w:color w:val="010000"/>
          <w:sz w:val="20"/>
          <w:szCs w:val="20"/>
        </w:rPr>
      </w:pPr>
      <w:r w:rsidRPr="00814690">
        <w:rPr>
          <w:rFonts w:ascii="Arial" w:hAnsi="Arial" w:cs="Arial"/>
          <w:color w:val="010000"/>
          <w:sz w:val="20"/>
        </w:rPr>
        <w:t>Merger procedures and conditions:</w:t>
      </w:r>
    </w:p>
    <w:p w14:paraId="04EE067F" w14:textId="77777777" w:rsidR="00EB675E" w:rsidRPr="00814690" w:rsidRDefault="004C2BB8" w:rsidP="00C94BD4">
      <w:pPr>
        <w:numPr>
          <w:ilvl w:val="0"/>
          <w:numId w:val="3"/>
        </w:numPr>
        <w:pBdr>
          <w:top w:val="nil"/>
          <w:left w:val="nil"/>
          <w:bottom w:val="nil"/>
          <w:right w:val="nil"/>
          <w:between w:val="nil"/>
        </w:pBdr>
        <w:tabs>
          <w:tab w:val="left" w:pos="432"/>
          <w:tab w:val="left" w:pos="1514"/>
        </w:tabs>
        <w:spacing w:after="120" w:line="360" w:lineRule="auto"/>
        <w:jc w:val="both"/>
        <w:rPr>
          <w:rFonts w:ascii="Arial" w:eastAsia="Arial" w:hAnsi="Arial" w:cs="Arial"/>
          <w:color w:val="010000"/>
          <w:sz w:val="20"/>
          <w:szCs w:val="20"/>
        </w:rPr>
      </w:pPr>
      <w:r w:rsidRPr="00814690">
        <w:rPr>
          <w:rFonts w:ascii="Arial" w:hAnsi="Arial" w:cs="Arial"/>
          <w:color w:val="010000"/>
          <w:sz w:val="20"/>
        </w:rPr>
        <w:t xml:space="preserve">Ensure merger conditions and fully carry out procedures pursuant to the </w:t>
      </w:r>
      <w:r w:rsidR="00EB7191" w:rsidRPr="00814690">
        <w:rPr>
          <w:rFonts w:ascii="Arial" w:hAnsi="Arial" w:cs="Arial"/>
          <w:color w:val="010000"/>
          <w:sz w:val="20"/>
          <w:lang w:val="vi-VN"/>
        </w:rPr>
        <w:t>Acquisition Agreement</w:t>
      </w:r>
      <w:r w:rsidRPr="00814690">
        <w:rPr>
          <w:rFonts w:ascii="Arial" w:hAnsi="Arial" w:cs="Arial"/>
          <w:color w:val="010000"/>
          <w:sz w:val="20"/>
        </w:rPr>
        <w:t>, comply with the provisions of law related to the merger.</w:t>
      </w:r>
    </w:p>
    <w:p w14:paraId="3A7BF899" w14:textId="77777777" w:rsidR="00EB675E" w:rsidRPr="00814690" w:rsidRDefault="004C2BB8" w:rsidP="00C94BD4">
      <w:pPr>
        <w:numPr>
          <w:ilvl w:val="0"/>
          <w:numId w:val="3"/>
        </w:numPr>
        <w:pBdr>
          <w:top w:val="nil"/>
          <w:left w:val="nil"/>
          <w:bottom w:val="nil"/>
          <w:right w:val="nil"/>
          <w:between w:val="nil"/>
        </w:pBdr>
        <w:tabs>
          <w:tab w:val="left" w:pos="432"/>
          <w:tab w:val="left" w:pos="1514"/>
        </w:tabs>
        <w:spacing w:after="120" w:line="360" w:lineRule="auto"/>
        <w:jc w:val="both"/>
        <w:rPr>
          <w:rFonts w:ascii="Arial" w:eastAsia="Arial" w:hAnsi="Arial" w:cs="Arial"/>
          <w:color w:val="010000"/>
          <w:sz w:val="20"/>
          <w:szCs w:val="20"/>
        </w:rPr>
      </w:pPr>
      <w:r w:rsidRPr="00814690">
        <w:rPr>
          <w:rFonts w:ascii="Arial" w:hAnsi="Arial" w:cs="Arial"/>
          <w:color w:val="010000"/>
          <w:sz w:val="20"/>
        </w:rPr>
        <w:t xml:space="preserve">After completing the merger procedures, the merged Company ceases to exist; The Corporation inherits all legal rights, obligations and interests of the merged Company pursuant to the </w:t>
      </w:r>
      <w:r w:rsidR="00EB7191" w:rsidRPr="00814690">
        <w:rPr>
          <w:rFonts w:ascii="Arial" w:hAnsi="Arial" w:cs="Arial"/>
          <w:color w:val="010000"/>
          <w:sz w:val="20"/>
          <w:lang w:val="vi-VN"/>
        </w:rPr>
        <w:t>Acquisition Agreement</w:t>
      </w:r>
      <w:r w:rsidRPr="00814690">
        <w:rPr>
          <w:rFonts w:ascii="Arial" w:hAnsi="Arial" w:cs="Arial"/>
          <w:color w:val="010000"/>
          <w:sz w:val="20"/>
        </w:rPr>
        <w:t>.</w:t>
      </w:r>
    </w:p>
    <w:p w14:paraId="40FCE3D8" w14:textId="77777777" w:rsidR="00EB675E" w:rsidRPr="00814690" w:rsidRDefault="00EB7191" w:rsidP="00C94BD4">
      <w:pPr>
        <w:numPr>
          <w:ilvl w:val="0"/>
          <w:numId w:val="7"/>
        </w:numPr>
        <w:pBdr>
          <w:top w:val="nil"/>
          <w:left w:val="nil"/>
          <w:bottom w:val="nil"/>
          <w:right w:val="nil"/>
          <w:between w:val="nil"/>
        </w:pBdr>
        <w:tabs>
          <w:tab w:val="left" w:pos="432"/>
          <w:tab w:val="left" w:pos="1598"/>
        </w:tabs>
        <w:spacing w:after="120" w:line="360" w:lineRule="auto"/>
        <w:jc w:val="both"/>
        <w:rPr>
          <w:rFonts w:ascii="Arial" w:eastAsia="Arial" w:hAnsi="Arial" w:cs="Arial"/>
          <w:color w:val="010000"/>
          <w:sz w:val="20"/>
          <w:szCs w:val="20"/>
        </w:rPr>
      </w:pPr>
      <w:r w:rsidRPr="00814690">
        <w:rPr>
          <w:rFonts w:ascii="Arial" w:hAnsi="Arial" w:cs="Arial"/>
          <w:color w:val="010000"/>
          <w:sz w:val="20"/>
          <w:lang w:val="vi-VN"/>
        </w:rPr>
        <w:t xml:space="preserve">Plan on using </w:t>
      </w:r>
      <w:r w:rsidR="004C2BB8" w:rsidRPr="00814690">
        <w:rPr>
          <w:rFonts w:ascii="Arial" w:hAnsi="Arial" w:cs="Arial"/>
          <w:color w:val="010000"/>
          <w:sz w:val="20"/>
          <w:lang w:val="vi-VN"/>
        </w:rPr>
        <w:t>labor</w:t>
      </w:r>
      <w:r w:rsidR="004C2BB8" w:rsidRPr="00814690">
        <w:rPr>
          <w:rFonts w:ascii="Arial" w:hAnsi="Arial" w:cs="Arial"/>
          <w:color w:val="010000"/>
          <w:sz w:val="20"/>
        </w:rPr>
        <w:t xml:space="preserve">: The Corporation inherits all labor, rights, interests and obligations in the labor relations of the merged Company. The Corporation rearranges labor (if necessary) and carries out procedures related to employees pursuant to the provisions of law and the </w:t>
      </w:r>
      <w:r w:rsidR="004C2BB8" w:rsidRPr="00814690">
        <w:rPr>
          <w:rFonts w:ascii="Arial" w:hAnsi="Arial" w:cs="Arial"/>
          <w:color w:val="010000"/>
          <w:sz w:val="20"/>
          <w:lang w:val="vi-VN"/>
        </w:rPr>
        <w:t>Acquisition Agreement</w:t>
      </w:r>
      <w:r w:rsidR="004C2BB8" w:rsidRPr="00814690">
        <w:rPr>
          <w:rFonts w:ascii="Arial" w:hAnsi="Arial" w:cs="Arial"/>
          <w:color w:val="010000"/>
          <w:sz w:val="20"/>
        </w:rPr>
        <w:t>.</w:t>
      </w:r>
    </w:p>
    <w:p w14:paraId="40BD9C47" w14:textId="77777777" w:rsidR="00EB675E" w:rsidRPr="00814690" w:rsidRDefault="004C2BB8" w:rsidP="00C94BD4">
      <w:pPr>
        <w:numPr>
          <w:ilvl w:val="0"/>
          <w:numId w:val="7"/>
        </w:numPr>
        <w:pBdr>
          <w:top w:val="nil"/>
          <w:left w:val="nil"/>
          <w:bottom w:val="nil"/>
          <w:right w:val="nil"/>
          <w:between w:val="nil"/>
        </w:pBdr>
        <w:tabs>
          <w:tab w:val="left" w:pos="432"/>
          <w:tab w:val="left" w:pos="1598"/>
        </w:tabs>
        <w:spacing w:after="120" w:line="360" w:lineRule="auto"/>
        <w:jc w:val="both"/>
        <w:rPr>
          <w:rFonts w:ascii="Arial" w:eastAsia="Arial" w:hAnsi="Arial" w:cs="Arial"/>
          <w:color w:val="010000"/>
          <w:sz w:val="20"/>
          <w:szCs w:val="20"/>
        </w:rPr>
      </w:pPr>
      <w:r w:rsidRPr="00814690">
        <w:rPr>
          <w:rFonts w:ascii="Arial" w:hAnsi="Arial" w:cs="Arial"/>
          <w:color w:val="010000"/>
          <w:sz w:val="20"/>
        </w:rPr>
        <w:t>Methods, procedures, deadlines and conditions for converting assets and converting capital contributions of the merged Company into capital contributions, shares of the Corporation receiving the merger.</w:t>
      </w:r>
    </w:p>
    <w:p w14:paraId="45211C38" w14:textId="77777777" w:rsidR="00EB675E" w:rsidRPr="00814690" w:rsidRDefault="004C2BB8" w:rsidP="00C94BD4">
      <w:pPr>
        <w:numPr>
          <w:ilvl w:val="0"/>
          <w:numId w:val="3"/>
        </w:numPr>
        <w:pBdr>
          <w:top w:val="nil"/>
          <w:left w:val="nil"/>
          <w:bottom w:val="nil"/>
          <w:right w:val="nil"/>
          <w:between w:val="nil"/>
        </w:pBdr>
        <w:tabs>
          <w:tab w:val="left" w:pos="432"/>
          <w:tab w:val="left" w:pos="1514"/>
        </w:tabs>
        <w:spacing w:after="120" w:line="360" w:lineRule="auto"/>
        <w:jc w:val="both"/>
        <w:rPr>
          <w:rFonts w:ascii="Arial" w:eastAsia="Arial" w:hAnsi="Arial" w:cs="Arial"/>
          <w:color w:val="010000"/>
          <w:sz w:val="20"/>
          <w:szCs w:val="20"/>
        </w:rPr>
      </w:pPr>
      <w:r w:rsidRPr="00814690">
        <w:rPr>
          <w:rFonts w:ascii="Arial" w:hAnsi="Arial" w:cs="Arial"/>
          <w:color w:val="010000"/>
          <w:sz w:val="20"/>
        </w:rPr>
        <w:t>For assets and liabilities: The Corporation inherits all assets and liabilities of the merged Company pursuant to the value on the accounting books of the merged Company at the time of the merger.</w:t>
      </w:r>
    </w:p>
    <w:p w14:paraId="224474AD" w14:textId="77777777" w:rsidR="00EB675E" w:rsidRPr="00814690" w:rsidRDefault="004C2BB8" w:rsidP="00C94BD4">
      <w:pPr>
        <w:numPr>
          <w:ilvl w:val="0"/>
          <w:numId w:val="3"/>
        </w:numPr>
        <w:pBdr>
          <w:top w:val="nil"/>
          <w:left w:val="nil"/>
          <w:bottom w:val="nil"/>
          <w:right w:val="nil"/>
          <w:between w:val="nil"/>
        </w:pBdr>
        <w:tabs>
          <w:tab w:val="left" w:pos="432"/>
          <w:tab w:val="left" w:pos="1514"/>
        </w:tabs>
        <w:spacing w:after="120" w:line="360" w:lineRule="auto"/>
        <w:jc w:val="both"/>
        <w:rPr>
          <w:rFonts w:ascii="Arial" w:eastAsia="Arial" w:hAnsi="Arial" w:cs="Arial"/>
          <w:color w:val="010000"/>
          <w:sz w:val="20"/>
          <w:szCs w:val="20"/>
        </w:rPr>
      </w:pPr>
      <w:r w:rsidRPr="00814690">
        <w:rPr>
          <w:rFonts w:ascii="Arial" w:hAnsi="Arial" w:cs="Arial"/>
          <w:color w:val="010000"/>
          <w:sz w:val="20"/>
        </w:rPr>
        <w:t>For capital contribution: 100% of the capital contribution of the merged Company is owned by the Corporation. When receiving the merger, the Corporation does not have to carry out procedures for issuing additional shares or increasing charter capital, but the value of the capital contribution investment to the subsidiary is transferred to other equivalent asset targets pursuant to the provisions of law on accounting.</w:t>
      </w:r>
    </w:p>
    <w:p w14:paraId="373CCCA4" w14:textId="77777777" w:rsidR="00EB675E" w:rsidRPr="00814690" w:rsidRDefault="004C2BB8" w:rsidP="00C94BD4">
      <w:pPr>
        <w:numPr>
          <w:ilvl w:val="0"/>
          <w:numId w:val="3"/>
        </w:numPr>
        <w:pBdr>
          <w:top w:val="nil"/>
          <w:left w:val="nil"/>
          <w:bottom w:val="nil"/>
          <w:right w:val="nil"/>
          <w:between w:val="nil"/>
        </w:pBdr>
        <w:tabs>
          <w:tab w:val="left" w:pos="432"/>
          <w:tab w:val="left" w:pos="1514"/>
        </w:tabs>
        <w:spacing w:after="120" w:line="360" w:lineRule="auto"/>
        <w:jc w:val="both"/>
        <w:rPr>
          <w:rFonts w:ascii="Arial" w:eastAsia="Arial" w:hAnsi="Arial" w:cs="Arial"/>
          <w:color w:val="010000"/>
          <w:sz w:val="20"/>
          <w:szCs w:val="20"/>
        </w:rPr>
      </w:pPr>
      <w:r w:rsidRPr="00814690">
        <w:rPr>
          <w:rFonts w:ascii="Arial" w:hAnsi="Arial" w:cs="Arial"/>
          <w:color w:val="010000"/>
          <w:sz w:val="20"/>
        </w:rPr>
        <w:t>The merged Company does not issue bonds, so there is no procedure for transferring the merged Company's bonds to the Corporation.</w:t>
      </w:r>
    </w:p>
    <w:p w14:paraId="32838778" w14:textId="77777777" w:rsidR="00EB675E" w:rsidRPr="00814690" w:rsidRDefault="004C2BB8" w:rsidP="00C94BD4">
      <w:pPr>
        <w:numPr>
          <w:ilvl w:val="0"/>
          <w:numId w:val="4"/>
        </w:numPr>
        <w:pBdr>
          <w:top w:val="nil"/>
          <w:left w:val="nil"/>
          <w:bottom w:val="nil"/>
          <w:right w:val="nil"/>
          <w:between w:val="nil"/>
        </w:pBdr>
        <w:tabs>
          <w:tab w:val="left" w:pos="432"/>
          <w:tab w:val="left" w:pos="1635"/>
        </w:tabs>
        <w:spacing w:after="120" w:line="360" w:lineRule="auto"/>
        <w:jc w:val="both"/>
        <w:rPr>
          <w:rFonts w:ascii="Arial" w:eastAsia="Arial" w:hAnsi="Arial" w:cs="Arial"/>
          <w:color w:val="010000"/>
          <w:sz w:val="20"/>
          <w:szCs w:val="20"/>
        </w:rPr>
      </w:pPr>
      <w:r w:rsidRPr="00814690">
        <w:rPr>
          <w:rFonts w:ascii="Arial" w:hAnsi="Arial" w:cs="Arial"/>
          <w:color w:val="010000"/>
          <w:sz w:val="20"/>
        </w:rPr>
        <w:t>Assign the General Manager of the Corporation:</w:t>
      </w:r>
    </w:p>
    <w:p w14:paraId="7AF0E2E7" w14:textId="77777777" w:rsidR="00EB675E" w:rsidRPr="00814690" w:rsidRDefault="004C2BB8" w:rsidP="00C94BD4">
      <w:pPr>
        <w:numPr>
          <w:ilvl w:val="0"/>
          <w:numId w:val="9"/>
        </w:numPr>
        <w:pBdr>
          <w:top w:val="nil"/>
          <w:left w:val="nil"/>
          <w:bottom w:val="nil"/>
          <w:right w:val="nil"/>
          <w:between w:val="nil"/>
        </w:pBdr>
        <w:tabs>
          <w:tab w:val="left" w:pos="432"/>
          <w:tab w:val="left" w:pos="1646"/>
        </w:tabs>
        <w:spacing w:after="120" w:line="360" w:lineRule="auto"/>
        <w:jc w:val="both"/>
        <w:rPr>
          <w:rFonts w:ascii="Arial" w:eastAsia="Arial" w:hAnsi="Arial" w:cs="Arial"/>
          <w:color w:val="010000"/>
          <w:sz w:val="20"/>
          <w:szCs w:val="20"/>
        </w:rPr>
      </w:pPr>
      <w:r w:rsidRPr="00814690">
        <w:rPr>
          <w:rFonts w:ascii="Arial" w:hAnsi="Arial" w:cs="Arial"/>
          <w:color w:val="010000"/>
          <w:sz w:val="20"/>
        </w:rPr>
        <w:lastRenderedPageBreak/>
        <w:t xml:space="preserve">Direct, decide on the contents, complete, approve details, sign and implement all contents, information, documents and work related to the </w:t>
      </w:r>
      <w:r w:rsidRPr="00814690">
        <w:rPr>
          <w:rFonts w:ascii="Arial" w:hAnsi="Arial" w:cs="Arial"/>
          <w:color w:val="010000"/>
          <w:sz w:val="20"/>
          <w:lang w:val="vi-VN"/>
        </w:rPr>
        <w:t>Acquisition Agreement</w:t>
      </w:r>
      <w:r w:rsidRPr="00814690">
        <w:rPr>
          <w:rFonts w:ascii="Arial" w:hAnsi="Arial" w:cs="Arial"/>
          <w:color w:val="010000"/>
          <w:sz w:val="20"/>
        </w:rPr>
        <w:t xml:space="preserve"> in accordance with the actual situation. The contents approved by the General Meeting of Shareholders mentioned above comply with current Regulations.</w:t>
      </w:r>
    </w:p>
    <w:p w14:paraId="063DAFBB" w14:textId="77777777" w:rsidR="00EB675E" w:rsidRPr="00814690" w:rsidRDefault="004C2BB8" w:rsidP="00C94BD4">
      <w:pPr>
        <w:numPr>
          <w:ilvl w:val="0"/>
          <w:numId w:val="9"/>
        </w:numPr>
        <w:pBdr>
          <w:top w:val="nil"/>
          <w:left w:val="nil"/>
          <w:bottom w:val="nil"/>
          <w:right w:val="nil"/>
          <w:between w:val="nil"/>
        </w:pBdr>
        <w:tabs>
          <w:tab w:val="left" w:pos="432"/>
          <w:tab w:val="left" w:pos="1655"/>
        </w:tabs>
        <w:spacing w:after="120" w:line="360" w:lineRule="auto"/>
        <w:jc w:val="both"/>
        <w:rPr>
          <w:rFonts w:ascii="Arial" w:eastAsia="Arial" w:hAnsi="Arial" w:cs="Arial"/>
          <w:color w:val="010000"/>
          <w:sz w:val="20"/>
          <w:szCs w:val="20"/>
        </w:rPr>
      </w:pPr>
      <w:r w:rsidRPr="00814690">
        <w:rPr>
          <w:rFonts w:ascii="Arial" w:hAnsi="Arial" w:cs="Arial"/>
          <w:color w:val="010000"/>
          <w:sz w:val="20"/>
        </w:rPr>
        <w:t>Decide and carry out necessary legal procedures for relevant state agencies on the above merger pursuant to the provisions of law.</w:t>
      </w:r>
    </w:p>
    <w:p w14:paraId="078B5D7F" w14:textId="77777777" w:rsidR="00EB675E" w:rsidRPr="00814690" w:rsidRDefault="004C2BB8" w:rsidP="00C94BD4">
      <w:pPr>
        <w:numPr>
          <w:ilvl w:val="0"/>
          <w:numId w:val="9"/>
        </w:numPr>
        <w:pBdr>
          <w:top w:val="nil"/>
          <w:left w:val="nil"/>
          <w:bottom w:val="nil"/>
          <w:right w:val="nil"/>
          <w:between w:val="nil"/>
        </w:pBdr>
        <w:tabs>
          <w:tab w:val="left" w:pos="432"/>
          <w:tab w:val="left" w:pos="1655"/>
        </w:tabs>
        <w:spacing w:after="120" w:line="360" w:lineRule="auto"/>
        <w:jc w:val="both"/>
        <w:rPr>
          <w:rFonts w:ascii="Arial" w:eastAsia="Arial" w:hAnsi="Arial" w:cs="Arial"/>
          <w:color w:val="010000"/>
          <w:sz w:val="20"/>
          <w:szCs w:val="20"/>
        </w:rPr>
      </w:pPr>
      <w:r w:rsidRPr="00814690">
        <w:rPr>
          <w:rFonts w:ascii="Arial" w:hAnsi="Arial" w:cs="Arial"/>
          <w:color w:val="010000"/>
          <w:sz w:val="20"/>
        </w:rPr>
        <w:t>Implement other related arising tasks (if any).</w:t>
      </w:r>
    </w:p>
    <w:p w14:paraId="088E8C55" w14:textId="77777777" w:rsidR="00EB675E" w:rsidRPr="00814690" w:rsidRDefault="004C2BB8" w:rsidP="00C94BD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814690">
        <w:rPr>
          <w:rFonts w:ascii="Arial" w:hAnsi="Arial" w:cs="Arial"/>
          <w:color w:val="010000"/>
          <w:sz w:val="20"/>
        </w:rPr>
        <w:t>‎‎Article 8. Terms of enforcement</w:t>
      </w:r>
    </w:p>
    <w:p w14:paraId="5FAA5F63" w14:textId="77777777" w:rsidR="00EB675E" w:rsidRPr="00814690" w:rsidRDefault="004C2BB8" w:rsidP="00C94BD4">
      <w:pPr>
        <w:numPr>
          <w:ilvl w:val="0"/>
          <w:numId w:val="5"/>
        </w:numPr>
        <w:pBdr>
          <w:top w:val="nil"/>
          <w:left w:val="nil"/>
          <w:bottom w:val="nil"/>
          <w:right w:val="nil"/>
          <w:between w:val="nil"/>
        </w:pBdr>
        <w:tabs>
          <w:tab w:val="left" w:pos="432"/>
          <w:tab w:val="left" w:pos="1527"/>
        </w:tabs>
        <w:spacing w:after="120" w:line="360" w:lineRule="auto"/>
        <w:jc w:val="both"/>
        <w:rPr>
          <w:rFonts w:ascii="Arial" w:eastAsia="Arial" w:hAnsi="Arial" w:cs="Arial"/>
          <w:color w:val="010000"/>
          <w:sz w:val="20"/>
          <w:szCs w:val="20"/>
        </w:rPr>
      </w:pPr>
      <w:r w:rsidRPr="00814690">
        <w:rPr>
          <w:rFonts w:ascii="Arial" w:hAnsi="Arial" w:cs="Arial"/>
          <w:color w:val="010000"/>
          <w:sz w:val="20"/>
        </w:rPr>
        <w:t>This General Mandate takes effect from the date of its signing. At the request of competent authorities or procedures with relevant parties, the contents of this General Mandate may be promulgated separately into different General Mandates and are not contrary to the contents approved by the General Meeting of Shareholders.</w:t>
      </w:r>
    </w:p>
    <w:p w14:paraId="261A2FE2" w14:textId="77777777" w:rsidR="00EB675E" w:rsidRPr="00814690" w:rsidRDefault="004C2BB8" w:rsidP="00C94BD4">
      <w:pPr>
        <w:numPr>
          <w:ilvl w:val="0"/>
          <w:numId w:val="5"/>
        </w:numPr>
        <w:pBdr>
          <w:top w:val="nil"/>
          <w:left w:val="nil"/>
          <w:bottom w:val="nil"/>
          <w:right w:val="nil"/>
          <w:between w:val="nil"/>
        </w:pBdr>
        <w:tabs>
          <w:tab w:val="left" w:pos="432"/>
          <w:tab w:val="left" w:pos="1527"/>
        </w:tabs>
        <w:spacing w:after="120" w:line="360" w:lineRule="auto"/>
        <w:jc w:val="both"/>
        <w:rPr>
          <w:rFonts w:ascii="Arial" w:eastAsia="Arial" w:hAnsi="Arial" w:cs="Arial"/>
          <w:color w:val="010000"/>
          <w:sz w:val="20"/>
          <w:szCs w:val="20"/>
        </w:rPr>
      </w:pPr>
      <w:r w:rsidRPr="00814690">
        <w:rPr>
          <w:rFonts w:ascii="Arial" w:hAnsi="Arial" w:cs="Arial"/>
          <w:color w:val="010000"/>
          <w:sz w:val="20"/>
        </w:rPr>
        <w:t>The Supervisory Board, the Board of Directors, and the Board of Management of the Corporation are responsible for the implementation of this General Mandate./.</w:t>
      </w:r>
    </w:p>
    <w:sectPr w:rsidR="00EB675E" w:rsidRPr="00814690" w:rsidSect="009D1D78">
      <w:pgSz w:w="11909" w:h="16840"/>
      <w:pgMar w:top="1440" w:right="1440" w:bottom="1440" w:left="1440" w:header="0" w:footer="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71208" w14:textId="77777777" w:rsidR="00D66AC8" w:rsidRDefault="00D66AC8" w:rsidP="00814690">
      <w:r>
        <w:separator/>
      </w:r>
    </w:p>
  </w:endnote>
  <w:endnote w:type="continuationSeparator" w:id="0">
    <w:p w14:paraId="405F6D73" w14:textId="77777777" w:rsidR="00D66AC8" w:rsidRDefault="00D66AC8" w:rsidP="0081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pto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D475" w14:textId="77777777" w:rsidR="00D66AC8" w:rsidRDefault="00D66AC8" w:rsidP="00814690">
      <w:r>
        <w:separator/>
      </w:r>
    </w:p>
  </w:footnote>
  <w:footnote w:type="continuationSeparator" w:id="0">
    <w:p w14:paraId="788BAA05" w14:textId="77777777" w:rsidR="00D66AC8" w:rsidRDefault="00D66AC8" w:rsidP="008146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1345"/>
    <w:multiLevelType w:val="multilevel"/>
    <w:tmpl w:val="0090DB2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0C206C"/>
    <w:multiLevelType w:val="multilevel"/>
    <w:tmpl w:val="1A3278C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B60558"/>
    <w:multiLevelType w:val="multilevel"/>
    <w:tmpl w:val="6A96562C"/>
    <w:lvl w:ilvl="0">
      <w:start w:val="1"/>
      <w:numFmt w:val="decimal"/>
      <w:lvlText w:val="7.%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4581539"/>
    <w:multiLevelType w:val="multilevel"/>
    <w:tmpl w:val="D7880DF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86F6C0C"/>
    <w:multiLevelType w:val="multilevel"/>
    <w:tmpl w:val="B48AB4D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8800D0"/>
    <w:multiLevelType w:val="multilevel"/>
    <w:tmpl w:val="A94E8246"/>
    <w:lvl w:ilvl="0">
      <w:start w:val="1"/>
      <w:numFmt w:val="bullet"/>
      <w:lvlText w:val="+"/>
      <w:lvlJc w:val="left"/>
      <w:pPr>
        <w:ind w:left="1080" w:hanging="360"/>
      </w:pPr>
      <w:rPr>
        <w:rFonts w:ascii="Arial" w:eastAsia="Arial" w:hAnsi="Arial" w:cs="Arial"/>
        <w:b w:val="0"/>
        <w:i w:val="0"/>
        <w:sz w:val="20"/>
        <w:szCs w:val="20"/>
        <w:u w:val="none"/>
      </w:rPr>
    </w:lvl>
    <w:lvl w:ilvl="1">
      <w:start w:val="1"/>
      <w:numFmt w:val="bullet"/>
      <w:lvlText w:val="o"/>
      <w:lvlJc w:val="left"/>
      <w:pPr>
        <w:ind w:left="1800" w:hanging="360"/>
      </w:pPr>
      <w:rPr>
        <w:rFonts w:ascii="Arial" w:eastAsia="Arial" w:hAnsi="Arial" w:cs="Arial"/>
        <w:b w:val="0"/>
        <w:i w:val="0"/>
        <w:sz w:val="20"/>
        <w:szCs w:val="20"/>
      </w:rPr>
    </w:lvl>
    <w:lvl w:ilvl="2">
      <w:start w:val="1"/>
      <w:numFmt w:val="bullet"/>
      <w:lvlText w:val=""/>
      <w:lvlJc w:val="left"/>
      <w:pPr>
        <w:ind w:left="2520" w:hanging="360"/>
      </w:pPr>
      <w:rPr>
        <w:rFonts w:ascii="Arial" w:eastAsia="Arial" w:hAnsi="Arial" w:cs="Arial"/>
        <w:b w:val="0"/>
        <w:i w:val="0"/>
        <w:sz w:val="20"/>
        <w:szCs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0CD11C6"/>
    <w:multiLevelType w:val="multilevel"/>
    <w:tmpl w:val="07E2B13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55E4429"/>
    <w:multiLevelType w:val="multilevel"/>
    <w:tmpl w:val="4D38AE8C"/>
    <w:lvl w:ilvl="0">
      <w:start w:val="239"/>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A56857"/>
    <w:multiLevelType w:val="multilevel"/>
    <w:tmpl w:val="309C501A"/>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0EF0A9A"/>
    <w:multiLevelType w:val="multilevel"/>
    <w:tmpl w:val="B63A3EB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7D80760"/>
    <w:multiLevelType w:val="multilevel"/>
    <w:tmpl w:val="2FCC1EF2"/>
    <w:lvl w:ilvl="0">
      <w:start w:val="1"/>
      <w:numFmt w:val="decimal"/>
      <w:lvlText w:val="(*)"/>
      <w:lvlJc w:val="left"/>
      <w:pPr>
        <w:ind w:left="1080" w:hanging="360"/>
      </w:pPr>
      <w:rPr>
        <w:rFonts w:ascii="Arial" w:eastAsia="Arial" w:hAnsi="Arial" w:cs="Arial"/>
        <w:b w:val="0"/>
        <w:i w:val="0"/>
        <w:color w:val="000000"/>
        <w:sz w:val="20"/>
        <w:szCs w:val="20"/>
        <w:u w:val="none"/>
      </w:rPr>
    </w:lvl>
    <w:lvl w:ilvl="1">
      <w:start w:val="1"/>
      <w:numFmt w:val="lowerLetter"/>
      <w:lvlText w:val="%2."/>
      <w:lvlJc w:val="left"/>
      <w:pPr>
        <w:ind w:left="1800" w:hanging="360"/>
      </w:pPr>
      <w:rPr>
        <w:rFonts w:ascii="Arial" w:eastAsia="Arial" w:hAnsi="Arial" w:cs="Arial"/>
        <w:b w:val="0"/>
        <w:i w:val="0"/>
        <w:sz w:val="20"/>
        <w:szCs w:val="20"/>
      </w:rPr>
    </w:lvl>
    <w:lvl w:ilvl="2">
      <w:start w:val="1"/>
      <w:numFmt w:val="lowerRoman"/>
      <w:lvlText w:val="%3."/>
      <w:lvlJc w:val="right"/>
      <w:pPr>
        <w:ind w:left="2520" w:hanging="180"/>
      </w:pPr>
      <w:rPr>
        <w:rFonts w:ascii="Arial" w:eastAsia="Arial" w:hAnsi="Arial" w:cs="Arial"/>
        <w:b w:val="0"/>
        <w:i w:val="0"/>
        <w:sz w:val="20"/>
        <w:szCs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0F37B68"/>
    <w:multiLevelType w:val="multilevel"/>
    <w:tmpl w:val="46967C56"/>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9"/>
  </w:num>
  <w:num w:numId="3">
    <w:abstractNumId w:val="6"/>
  </w:num>
  <w:num w:numId="4">
    <w:abstractNumId w:val="2"/>
  </w:num>
  <w:num w:numId="5">
    <w:abstractNumId w:val="3"/>
  </w:num>
  <w:num w:numId="6">
    <w:abstractNumId w:val="4"/>
  </w:num>
  <w:num w:numId="7">
    <w:abstractNumId w:val="11"/>
  </w:num>
  <w:num w:numId="8">
    <w:abstractNumId w:val="5"/>
  </w:num>
  <w:num w:numId="9">
    <w:abstractNumId w:val="0"/>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5E"/>
    <w:rsid w:val="000A37AE"/>
    <w:rsid w:val="004C2BB8"/>
    <w:rsid w:val="007D3B44"/>
    <w:rsid w:val="00814690"/>
    <w:rsid w:val="00905578"/>
    <w:rsid w:val="009D1D78"/>
    <w:rsid w:val="00B00DE0"/>
    <w:rsid w:val="00C94BD4"/>
    <w:rsid w:val="00D40270"/>
    <w:rsid w:val="00D66AC8"/>
    <w:rsid w:val="00E31B20"/>
    <w:rsid w:val="00E50C55"/>
    <w:rsid w:val="00EB675E"/>
    <w:rsid w:val="00EB7191"/>
    <w:rsid w:val="00EC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064E2"/>
  <w15:docId w15:val="{ABD02833-54FF-46FB-B351-BC6B2B27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31F2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231F20"/>
      <w:sz w:val="28"/>
      <w:szCs w:val="28"/>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E63134"/>
      <w:sz w:val="13"/>
      <w:szCs w:val="13"/>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231F20"/>
      <w:sz w:val="30"/>
      <w:szCs w:val="3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color w:val="231F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231F20"/>
      <w:sz w:val="18"/>
      <w:szCs w:val="1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color w:val="231F2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31F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3F3A38"/>
      <w:sz w:val="20"/>
      <w:szCs w:val="20"/>
      <w:u w:val="none"/>
      <w:shd w:val="clear" w:color="auto" w:fill="auto"/>
    </w:rPr>
  </w:style>
  <w:style w:type="paragraph" w:styleId="BodyText">
    <w:name w:val="Body Text"/>
    <w:basedOn w:val="Normal"/>
    <w:link w:val="BodyTextChar"/>
    <w:qFormat/>
    <w:pPr>
      <w:spacing w:line="259" w:lineRule="auto"/>
      <w:ind w:firstLine="400"/>
    </w:pPr>
    <w:rPr>
      <w:rFonts w:ascii="Times New Roman" w:eastAsia="Times New Roman" w:hAnsi="Times New Roman" w:cs="Times New Roman"/>
      <w:color w:val="231F20"/>
    </w:rPr>
  </w:style>
  <w:style w:type="paragraph" w:customStyle="1" w:styleId="Bodytext50">
    <w:name w:val="Body text (5)"/>
    <w:basedOn w:val="Normal"/>
    <w:link w:val="Bodytext5"/>
    <w:pPr>
      <w:jc w:val="right"/>
    </w:pPr>
    <w:rPr>
      <w:rFonts w:ascii="Times New Roman" w:eastAsia="Times New Roman" w:hAnsi="Times New Roman" w:cs="Times New Roman"/>
      <w:b/>
      <w:bCs/>
      <w:color w:val="231F20"/>
      <w:sz w:val="28"/>
      <w:szCs w:val="28"/>
    </w:rPr>
  </w:style>
  <w:style w:type="paragraph" w:customStyle="1" w:styleId="Bodytext40">
    <w:name w:val="Body text (4)"/>
    <w:basedOn w:val="Normal"/>
    <w:link w:val="Bodytext4"/>
    <w:rPr>
      <w:rFonts w:ascii="Arial" w:eastAsia="Arial" w:hAnsi="Arial" w:cs="Arial"/>
      <w:b/>
      <w:bCs/>
      <w:color w:val="E63134"/>
      <w:sz w:val="13"/>
      <w:szCs w:val="13"/>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color w:val="231F20"/>
      <w:sz w:val="30"/>
      <w:szCs w:val="30"/>
    </w:rPr>
  </w:style>
  <w:style w:type="paragraph" w:customStyle="1" w:styleId="Tableofcontents0">
    <w:name w:val="Table of contents"/>
    <w:basedOn w:val="Normal"/>
    <w:link w:val="Tableofcontents"/>
    <w:pPr>
      <w:spacing w:line="276" w:lineRule="auto"/>
      <w:ind w:left="1080"/>
    </w:pPr>
    <w:rPr>
      <w:rFonts w:ascii="Times New Roman" w:eastAsia="Times New Roman" w:hAnsi="Times New Roman" w:cs="Times New Roman"/>
      <w:color w:val="231F20"/>
    </w:rPr>
  </w:style>
  <w:style w:type="paragraph" w:customStyle="1" w:styleId="Bodytext30">
    <w:name w:val="Body text (3)"/>
    <w:basedOn w:val="Normal"/>
    <w:link w:val="Bodytext3"/>
    <w:pPr>
      <w:ind w:firstLine="180"/>
    </w:pPr>
    <w:rPr>
      <w:rFonts w:ascii="Times New Roman" w:eastAsia="Times New Roman" w:hAnsi="Times New Roman" w:cs="Times New Roman"/>
      <w:color w:val="231F20"/>
      <w:sz w:val="18"/>
      <w:szCs w:val="18"/>
    </w:rPr>
  </w:style>
  <w:style w:type="paragraph" w:customStyle="1" w:styleId="Tablecaption0">
    <w:name w:val="Table caption"/>
    <w:basedOn w:val="Normal"/>
    <w:link w:val="Tablecaption"/>
    <w:rPr>
      <w:rFonts w:ascii="Times New Roman" w:eastAsia="Times New Roman" w:hAnsi="Times New Roman" w:cs="Times New Roman"/>
      <w:i/>
      <w:iCs/>
      <w:color w:val="231F20"/>
      <w:sz w:val="22"/>
      <w:szCs w:val="22"/>
    </w:rPr>
  </w:style>
  <w:style w:type="paragraph" w:customStyle="1" w:styleId="Other0">
    <w:name w:val="Other"/>
    <w:basedOn w:val="Normal"/>
    <w:link w:val="Other"/>
    <w:pPr>
      <w:spacing w:line="259" w:lineRule="auto"/>
      <w:ind w:firstLine="400"/>
    </w:pPr>
    <w:rPr>
      <w:rFonts w:ascii="Times New Roman" w:eastAsia="Times New Roman" w:hAnsi="Times New Roman" w:cs="Times New Roman"/>
      <w:color w:val="231F20"/>
    </w:rPr>
  </w:style>
  <w:style w:type="paragraph" w:customStyle="1" w:styleId="Bodytext20">
    <w:name w:val="Body text (2)"/>
    <w:basedOn w:val="Normal"/>
    <w:link w:val="Bodytext2"/>
    <w:pPr>
      <w:spacing w:line="377" w:lineRule="auto"/>
    </w:pPr>
    <w:rPr>
      <w:rFonts w:ascii="Arial" w:eastAsia="Arial" w:hAnsi="Arial" w:cs="Arial"/>
      <w:color w:val="3F3A38"/>
      <w:sz w:val="20"/>
      <w:szCs w:val="20"/>
    </w:rPr>
  </w:style>
  <w:style w:type="paragraph" w:styleId="ListParagraph">
    <w:name w:val="List Paragraph"/>
    <w:basedOn w:val="Normal"/>
    <w:uiPriority w:val="34"/>
    <w:qFormat/>
    <w:rsid w:val="00BA61A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814690"/>
    <w:pPr>
      <w:tabs>
        <w:tab w:val="center" w:pos="4513"/>
        <w:tab w:val="right" w:pos="9026"/>
      </w:tabs>
    </w:pPr>
  </w:style>
  <w:style w:type="character" w:customStyle="1" w:styleId="HeaderChar">
    <w:name w:val="Header Char"/>
    <w:basedOn w:val="DefaultParagraphFont"/>
    <w:link w:val="Header"/>
    <w:uiPriority w:val="99"/>
    <w:rsid w:val="00814690"/>
    <w:rPr>
      <w:color w:val="000000"/>
    </w:rPr>
  </w:style>
  <w:style w:type="paragraph" w:styleId="Footer">
    <w:name w:val="footer"/>
    <w:basedOn w:val="Normal"/>
    <w:link w:val="FooterChar"/>
    <w:uiPriority w:val="99"/>
    <w:unhideWhenUsed/>
    <w:rsid w:val="00814690"/>
    <w:pPr>
      <w:tabs>
        <w:tab w:val="center" w:pos="4513"/>
        <w:tab w:val="right" w:pos="9026"/>
      </w:tabs>
    </w:pPr>
  </w:style>
  <w:style w:type="character" w:customStyle="1" w:styleId="FooterChar">
    <w:name w:val="Footer Char"/>
    <w:basedOn w:val="DefaultParagraphFont"/>
    <w:link w:val="Footer"/>
    <w:uiPriority w:val="99"/>
    <w:rsid w:val="0081469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YpyDjmrmVT87h6kNspmN8dGODg==">CgMxLjA4AHIhMTkwR1JUWkxRVUt2cjE5VlJiLTJqRlZCRjhYeFFyUXUx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9</cp:revision>
  <dcterms:created xsi:type="dcterms:W3CDTF">2024-06-21T04:17:00Z</dcterms:created>
  <dcterms:modified xsi:type="dcterms:W3CDTF">2024-06-25T03:15:00Z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422349aa41a4748afb6c5c2d2f4129583f6b28599b4758fc479b886263026a5a</vt:lpwstr>
  </property>
</Properties>
</file>