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B13F5" w:rsidRPr="00E46482" w:rsidRDefault="00062F24" w:rsidP="008401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46482">
        <w:rPr>
          <w:rFonts w:ascii="Arial" w:hAnsi="Arial" w:cs="Arial"/>
          <w:b/>
          <w:color w:val="010000"/>
          <w:sz w:val="20"/>
        </w:rPr>
        <w:t>TIN: Notice on offering shares</w:t>
      </w:r>
    </w:p>
    <w:p w14:paraId="00000002" w14:textId="32C5EF76" w:rsidR="001B13F5" w:rsidRPr="00E46482" w:rsidRDefault="00062F24" w:rsidP="008401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 xml:space="preserve">On June 20, 2024, VietCredit Finance Joint Stock Company announced Notice </w:t>
      </w:r>
      <w:r w:rsidR="00CF5D35" w:rsidRPr="00E46482">
        <w:rPr>
          <w:rFonts w:ascii="Arial" w:hAnsi="Arial" w:cs="Arial"/>
          <w:color w:val="010000"/>
          <w:sz w:val="20"/>
        </w:rPr>
        <w:t xml:space="preserve">No. </w:t>
      </w:r>
      <w:r w:rsidRPr="00E46482">
        <w:rPr>
          <w:rFonts w:ascii="Arial" w:hAnsi="Arial" w:cs="Arial"/>
          <w:color w:val="010000"/>
          <w:sz w:val="20"/>
        </w:rPr>
        <w:t>468/2024/VietCredit-TB on the public offering as follows:</w:t>
      </w:r>
    </w:p>
    <w:p w14:paraId="0000000C" w14:textId="77777777" w:rsidR="001B13F5" w:rsidRPr="00E46482" w:rsidRDefault="00062F24" w:rsidP="008401DD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>Offering plan</w:t>
      </w:r>
    </w:p>
    <w:p w14:paraId="0000000D" w14:textId="77777777" w:rsidR="001B13F5" w:rsidRPr="00E46482" w:rsidRDefault="00062F24" w:rsidP="008401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 xml:space="preserve">Share name: Shares of VietCredit Finance Joint Stock Company </w:t>
      </w:r>
    </w:p>
    <w:p w14:paraId="0000000E" w14:textId="77777777" w:rsidR="001B13F5" w:rsidRPr="00E46482" w:rsidRDefault="00062F24" w:rsidP="008401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>Share type: Common shares</w:t>
      </w:r>
    </w:p>
    <w:p w14:paraId="0000000F" w14:textId="77777777" w:rsidR="001B13F5" w:rsidRPr="00E46482" w:rsidRDefault="00062F24" w:rsidP="008401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>Number of offered shares: 21,041,164 shares, in which:</w:t>
      </w:r>
    </w:p>
    <w:p w14:paraId="00000010" w14:textId="77777777" w:rsidR="001B13F5" w:rsidRPr="00E46482" w:rsidRDefault="00062F24" w:rsidP="008401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>Number of shares issued by the Issuer: 21,041,164 shares;</w:t>
      </w:r>
    </w:p>
    <w:p w14:paraId="00000011" w14:textId="77777777" w:rsidR="001B13F5" w:rsidRPr="00E46482" w:rsidRDefault="00062F24" w:rsidP="008401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>Number of shares offered by shareholders: 0 shares.</w:t>
      </w:r>
      <w:bookmarkStart w:id="0" w:name="_GoBack"/>
      <w:bookmarkEnd w:id="0"/>
    </w:p>
    <w:p w14:paraId="00000012" w14:textId="77777777" w:rsidR="001B13F5" w:rsidRPr="00E46482" w:rsidRDefault="00062F24" w:rsidP="008401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>Offering price: VND10,000/share</w:t>
      </w:r>
    </w:p>
    <w:p w14:paraId="00000013" w14:textId="77777777" w:rsidR="001B13F5" w:rsidRPr="00E46482" w:rsidRDefault="00062F24" w:rsidP="008401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>Total value of mobilized capital: VND210,411,640,000, in which:</w:t>
      </w:r>
    </w:p>
    <w:p w14:paraId="00000014" w14:textId="77777777" w:rsidR="001B13F5" w:rsidRPr="00E46482" w:rsidRDefault="00062F24" w:rsidP="008401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>Value of capital mobilized by the Issuer: VND210,411,640,000</w:t>
      </w:r>
    </w:p>
    <w:p w14:paraId="00000015" w14:textId="77777777" w:rsidR="001B13F5" w:rsidRPr="00E46482" w:rsidRDefault="00062F24" w:rsidP="008401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>Value of capital mobilized by shareholders: VND0</w:t>
      </w:r>
    </w:p>
    <w:p w14:paraId="00000016" w14:textId="72621B27" w:rsidR="001B13F5" w:rsidRPr="00E46482" w:rsidRDefault="00062F24" w:rsidP="008401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 xml:space="preserve">Distribution method: Offer additional shares to the public to existing shareholders according to the method of exercising buying rights at the rate of 100:30 (on the record date to exercise rights for shareholders, shareholders owning 01 common share will be entitled to 01 right to buy </w:t>
      </w:r>
      <w:r w:rsidR="00257491" w:rsidRPr="00E46482">
        <w:rPr>
          <w:rFonts w:ascii="Arial" w:hAnsi="Arial" w:cs="Arial"/>
          <w:color w:val="010000"/>
          <w:sz w:val="20"/>
        </w:rPr>
        <w:t xml:space="preserve">an </w:t>
      </w:r>
      <w:r w:rsidRPr="00E46482">
        <w:rPr>
          <w:rFonts w:ascii="Arial" w:hAnsi="Arial" w:cs="Arial"/>
          <w:color w:val="010000"/>
          <w:sz w:val="20"/>
        </w:rPr>
        <w:t>additional issued share, and for every 100 buying rights, they will be entitled to buy 30 additional issued shares). This offering does not have underwriting for issuance</w:t>
      </w:r>
      <w:r w:rsidR="00257491" w:rsidRPr="00E46482">
        <w:rPr>
          <w:rFonts w:ascii="Arial" w:hAnsi="Arial" w:cs="Arial"/>
          <w:color w:val="010000"/>
          <w:sz w:val="20"/>
        </w:rPr>
        <w:t>.</w:t>
      </w:r>
    </w:p>
    <w:p w14:paraId="00000017" w14:textId="77777777" w:rsidR="001B13F5" w:rsidRPr="00E46482" w:rsidRDefault="00062F24" w:rsidP="008401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>Minimum number of shares registered to buy: None</w:t>
      </w:r>
    </w:p>
    <w:p w14:paraId="00000018" w14:textId="77777777" w:rsidR="001B13F5" w:rsidRPr="00E46482" w:rsidRDefault="00062F24" w:rsidP="008401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>Time to receive buying registration:</w:t>
      </w:r>
    </w:p>
    <w:p w14:paraId="00000019" w14:textId="3C9DCDE8" w:rsidR="001B13F5" w:rsidRPr="00E46482" w:rsidRDefault="00062F24" w:rsidP="008401D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>Record date: July 03, 2024</w:t>
      </w:r>
    </w:p>
    <w:p w14:paraId="0000001A" w14:textId="77777777" w:rsidR="001B13F5" w:rsidRPr="00E46482" w:rsidRDefault="00062F24" w:rsidP="008401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>Time to transfer rights to buy shares: From July 10, 2024 to August 12, 2024;</w:t>
      </w:r>
    </w:p>
    <w:p w14:paraId="0000001B" w14:textId="77777777" w:rsidR="001B13F5" w:rsidRPr="00E46482" w:rsidRDefault="00062F24" w:rsidP="008401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>Time to register to buy shares: From July 10, 2024 to August 16, 2024.</w:t>
      </w:r>
    </w:p>
    <w:p w14:paraId="0000001C" w14:textId="77777777" w:rsidR="001B13F5" w:rsidRPr="00E46482" w:rsidRDefault="00062F24" w:rsidP="008401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>Location to receive registration for buying shares:</w:t>
      </w:r>
    </w:p>
    <w:p w14:paraId="0000001D" w14:textId="77777777" w:rsidR="001B13F5" w:rsidRPr="00E46482" w:rsidRDefault="00062F24" w:rsidP="008401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>For deposited shareholders: Shareholders implement procedures to register to buy shares at the securities company where shareholders open trading accounts</w:t>
      </w:r>
    </w:p>
    <w:p w14:paraId="0000001E" w14:textId="4A00C651" w:rsidR="001B13F5" w:rsidRPr="00E46482" w:rsidRDefault="00062F24" w:rsidP="008401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 xml:space="preserve">For undeposited shareholders: Shareholders implement procedures to register to buy shares at VietCredit Finance Joint Stock Company - Address: 17th Floor, Mipec Tower Building, </w:t>
      </w:r>
      <w:r w:rsidR="00CF5D35" w:rsidRPr="00E46482">
        <w:rPr>
          <w:rFonts w:ascii="Arial" w:hAnsi="Arial" w:cs="Arial"/>
          <w:color w:val="010000"/>
          <w:sz w:val="20"/>
        </w:rPr>
        <w:t xml:space="preserve">No. </w:t>
      </w:r>
      <w:r w:rsidRPr="00E46482">
        <w:rPr>
          <w:rFonts w:ascii="Arial" w:hAnsi="Arial" w:cs="Arial"/>
          <w:color w:val="010000"/>
          <w:sz w:val="20"/>
        </w:rPr>
        <w:t>229 Tay Son, Nga Tu So Ward, Dong Da District, Hanoi City, Office of the Board of Directors</w:t>
      </w:r>
    </w:p>
    <w:p w14:paraId="0000001F" w14:textId="77777777" w:rsidR="001B13F5" w:rsidRPr="00E46482" w:rsidRDefault="00062F24" w:rsidP="008401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>Time to receive payment to buy shares: From July 10, 2024 to August 16, 2024.</w:t>
      </w:r>
    </w:p>
    <w:p w14:paraId="00000020" w14:textId="77777777" w:rsidR="001B13F5" w:rsidRPr="00E46482" w:rsidRDefault="00062F24" w:rsidP="008401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>Blocked account for receiving payment to buy shares:</w:t>
      </w:r>
    </w:p>
    <w:p w14:paraId="00000021" w14:textId="2817988B" w:rsidR="001B13F5" w:rsidRPr="00E46482" w:rsidRDefault="00062F24" w:rsidP="008401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 xml:space="preserve">Account name: VietCredit Finance Joint Stock Company </w:t>
      </w:r>
    </w:p>
    <w:p w14:paraId="2C43CF42" w14:textId="1D712650" w:rsidR="00E46482" w:rsidRPr="00E46482" w:rsidRDefault="00E46482" w:rsidP="008401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lastRenderedPageBreak/>
        <w:t>Account number:</w:t>
      </w:r>
      <w:r w:rsidRPr="00E46482">
        <w:rPr>
          <w:rFonts w:ascii="Arial" w:eastAsia="Arial" w:hAnsi="Arial" w:cs="Arial"/>
          <w:color w:val="010000"/>
          <w:sz w:val="20"/>
          <w:szCs w:val="20"/>
        </w:rPr>
        <w:t xml:space="preserve"> 0043333898989</w:t>
      </w:r>
    </w:p>
    <w:p w14:paraId="00000022" w14:textId="77777777" w:rsidR="001B13F5" w:rsidRPr="00E46482" w:rsidRDefault="00062F24" w:rsidP="008401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6482">
        <w:rPr>
          <w:rFonts w:ascii="Arial" w:hAnsi="Arial" w:cs="Arial"/>
          <w:color w:val="010000"/>
          <w:sz w:val="20"/>
        </w:rPr>
        <w:t>Opened at: Viet Capital Commercial Joint Stock Company - Hanoi Branch.</w:t>
      </w:r>
    </w:p>
    <w:sectPr w:rsidR="001B13F5" w:rsidRPr="00E46482" w:rsidSect="00933AF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430"/>
    <w:multiLevelType w:val="multilevel"/>
    <w:tmpl w:val="1940F7C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7E5C50"/>
    <w:multiLevelType w:val="multilevel"/>
    <w:tmpl w:val="61D8102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B47949"/>
    <w:multiLevelType w:val="multilevel"/>
    <w:tmpl w:val="43A8F99A"/>
    <w:lvl w:ilvl="0">
      <w:start w:val="2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76777"/>
    <w:multiLevelType w:val="multilevel"/>
    <w:tmpl w:val="19A42D8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F5"/>
    <w:rsid w:val="00062F24"/>
    <w:rsid w:val="001B13F5"/>
    <w:rsid w:val="00257491"/>
    <w:rsid w:val="008401DD"/>
    <w:rsid w:val="00933AF7"/>
    <w:rsid w:val="009462FC"/>
    <w:rsid w:val="00A855C1"/>
    <w:rsid w:val="00CF5D35"/>
    <w:rsid w:val="00E4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B8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B43042"/>
      <w:sz w:val="14"/>
      <w:szCs w:val="1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B43042"/>
      <w:sz w:val="18"/>
      <w:szCs w:val="1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43" w:lineRule="auto"/>
    </w:pPr>
    <w:rPr>
      <w:rFonts w:ascii="Arial" w:eastAsia="Arial" w:hAnsi="Arial" w:cs="Arial"/>
      <w:sz w:val="20"/>
      <w:szCs w:val="20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color w:val="B43042"/>
      <w:sz w:val="14"/>
      <w:szCs w:val="14"/>
    </w:rPr>
  </w:style>
  <w:style w:type="paragraph" w:customStyle="1" w:styleId="Vnbnnidung20">
    <w:name w:val="Văn bản nội dung (2)"/>
    <w:basedOn w:val="Normal"/>
    <w:link w:val="Vnbnnidung2"/>
    <w:pPr>
      <w:spacing w:line="314" w:lineRule="auto"/>
    </w:pPr>
    <w:rPr>
      <w:rFonts w:ascii="Arial" w:eastAsia="Arial" w:hAnsi="Arial" w:cs="Arial"/>
      <w:color w:val="B43042"/>
      <w:sz w:val="18"/>
      <w:szCs w:val="18"/>
    </w:rPr>
  </w:style>
  <w:style w:type="paragraph" w:customStyle="1" w:styleId="Tiu20">
    <w:name w:val="Tiêu đề #2"/>
    <w:basedOn w:val="Normal"/>
    <w:link w:val="Tiu2"/>
    <w:pPr>
      <w:spacing w:line="302" w:lineRule="auto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Chthchbng0">
    <w:name w:val="Chú thích bảng"/>
    <w:basedOn w:val="Normal"/>
    <w:link w:val="Chthchbng"/>
    <w:rPr>
      <w:rFonts w:ascii="Arial" w:eastAsia="Arial" w:hAnsi="Arial" w:cs="Arial"/>
      <w:sz w:val="20"/>
      <w:szCs w:val="20"/>
    </w:rPr>
  </w:style>
  <w:style w:type="paragraph" w:customStyle="1" w:styleId="Khc0">
    <w:name w:val="Khác"/>
    <w:basedOn w:val="Normal"/>
    <w:link w:val="Khc"/>
    <w:pPr>
      <w:spacing w:line="343" w:lineRule="auto"/>
    </w:pPr>
    <w:rPr>
      <w:rFonts w:ascii="Arial" w:eastAsia="Arial" w:hAnsi="Arial" w:cs="Arial"/>
      <w:sz w:val="20"/>
      <w:szCs w:val="20"/>
    </w:rPr>
  </w:style>
  <w:style w:type="paragraph" w:customStyle="1" w:styleId="Mclc0">
    <w:name w:val="Mục lục"/>
    <w:basedOn w:val="Normal"/>
    <w:link w:val="Mclc"/>
    <w:pPr>
      <w:spacing w:line="230" w:lineRule="auto"/>
      <w:ind w:firstLine="610"/>
    </w:pPr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57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B43042"/>
      <w:sz w:val="14"/>
      <w:szCs w:val="1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B43042"/>
      <w:sz w:val="18"/>
      <w:szCs w:val="1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43" w:lineRule="auto"/>
    </w:pPr>
    <w:rPr>
      <w:rFonts w:ascii="Arial" w:eastAsia="Arial" w:hAnsi="Arial" w:cs="Arial"/>
      <w:sz w:val="20"/>
      <w:szCs w:val="20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color w:val="B43042"/>
      <w:sz w:val="14"/>
      <w:szCs w:val="14"/>
    </w:rPr>
  </w:style>
  <w:style w:type="paragraph" w:customStyle="1" w:styleId="Vnbnnidung20">
    <w:name w:val="Văn bản nội dung (2)"/>
    <w:basedOn w:val="Normal"/>
    <w:link w:val="Vnbnnidung2"/>
    <w:pPr>
      <w:spacing w:line="314" w:lineRule="auto"/>
    </w:pPr>
    <w:rPr>
      <w:rFonts w:ascii="Arial" w:eastAsia="Arial" w:hAnsi="Arial" w:cs="Arial"/>
      <w:color w:val="B43042"/>
      <w:sz w:val="18"/>
      <w:szCs w:val="18"/>
    </w:rPr>
  </w:style>
  <w:style w:type="paragraph" w:customStyle="1" w:styleId="Tiu20">
    <w:name w:val="Tiêu đề #2"/>
    <w:basedOn w:val="Normal"/>
    <w:link w:val="Tiu2"/>
    <w:pPr>
      <w:spacing w:line="302" w:lineRule="auto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Chthchbng0">
    <w:name w:val="Chú thích bảng"/>
    <w:basedOn w:val="Normal"/>
    <w:link w:val="Chthchbng"/>
    <w:rPr>
      <w:rFonts w:ascii="Arial" w:eastAsia="Arial" w:hAnsi="Arial" w:cs="Arial"/>
      <w:sz w:val="20"/>
      <w:szCs w:val="20"/>
    </w:rPr>
  </w:style>
  <w:style w:type="paragraph" w:customStyle="1" w:styleId="Khc0">
    <w:name w:val="Khác"/>
    <w:basedOn w:val="Normal"/>
    <w:link w:val="Khc"/>
    <w:pPr>
      <w:spacing w:line="343" w:lineRule="auto"/>
    </w:pPr>
    <w:rPr>
      <w:rFonts w:ascii="Arial" w:eastAsia="Arial" w:hAnsi="Arial" w:cs="Arial"/>
      <w:sz w:val="20"/>
      <w:szCs w:val="20"/>
    </w:rPr>
  </w:style>
  <w:style w:type="paragraph" w:customStyle="1" w:styleId="Mclc0">
    <w:name w:val="Mục lục"/>
    <w:basedOn w:val="Normal"/>
    <w:link w:val="Mclc"/>
    <w:pPr>
      <w:spacing w:line="230" w:lineRule="auto"/>
      <w:ind w:firstLine="610"/>
    </w:pPr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5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tiDGA7af0JyKnHBbclBgNIJBNQ==">CgMxLjA4AHIhMXRBRjBrZkVtcEhlSWR6bUNhdTJFb0lKVm5ySWU3MEtV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2024-06-24T04:14:00Z</dcterms:created>
  <dcterms:modified xsi:type="dcterms:W3CDTF">2024-06-25T03:56:00Z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70d85ee8ccb05093ef1681e39f7fecfb565014255aaba7b8d4eb040c42ad2899</vt:lpwstr>
  </property>
</Properties>
</file>