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95673">
        <w:rPr>
          <w:rFonts w:ascii="Arial" w:hAnsi="Arial" w:cs="Arial"/>
          <w:b/>
          <w:bCs/>
          <w:color w:val="010000"/>
          <w:sz w:val="20"/>
        </w:rPr>
        <w:t>VC2:</w:t>
      </w:r>
      <w:r w:rsidRPr="00695673">
        <w:rPr>
          <w:rFonts w:ascii="Arial" w:hAnsi="Arial" w:cs="Arial"/>
          <w:b/>
          <w:color w:val="010000"/>
          <w:sz w:val="20"/>
        </w:rPr>
        <w:t xml:space="preserve"> Board Resolution</w:t>
      </w:r>
    </w:p>
    <w:p w14:paraId="00000002" w14:textId="1D6CEC45"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5673">
        <w:rPr>
          <w:rFonts w:ascii="Arial" w:hAnsi="Arial" w:cs="Arial"/>
          <w:color w:val="010000"/>
          <w:sz w:val="20"/>
        </w:rPr>
        <w:t xml:space="preserve">On June 20, 2024, VINA2 Investment and Construction Joint Stock Company announced Resolution </w:t>
      </w:r>
      <w:r w:rsidR="00E777D8" w:rsidRPr="00695673">
        <w:rPr>
          <w:rFonts w:ascii="Arial" w:hAnsi="Arial" w:cs="Arial"/>
          <w:color w:val="010000"/>
          <w:sz w:val="20"/>
        </w:rPr>
        <w:t xml:space="preserve">No. </w:t>
      </w:r>
      <w:r w:rsidRPr="00695673">
        <w:rPr>
          <w:rFonts w:ascii="Arial" w:hAnsi="Arial" w:cs="Arial"/>
          <w:color w:val="010000"/>
          <w:sz w:val="20"/>
        </w:rPr>
        <w:t>80/2024/NQ-HDQT on approving the investment policy to buy shares of Truong Xuan Loc Trading and Construction Joint Stock Company as follows:</w:t>
      </w:r>
    </w:p>
    <w:p w14:paraId="00000003" w14:textId="77777777"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5673">
        <w:rPr>
          <w:rFonts w:ascii="Arial" w:hAnsi="Arial" w:cs="Arial"/>
          <w:color w:val="010000"/>
          <w:sz w:val="20"/>
        </w:rPr>
        <w:t>‎‎Article 1. Approve the investment policy to buy shares of Truong Xuan Loc Trading and Construction Joint Stock Company, specifically as follows:</w:t>
      </w:r>
    </w:p>
    <w:p w14:paraId="00000004" w14:textId="77777777" w:rsidR="00716AB8" w:rsidRPr="00695673" w:rsidRDefault="002A2BA5" w:rsidP="00C6245D">
      <w:pPr>
        <w:numPr>
          <w:ilvl w:val="0"/>
          <w:numId w:val="1"/>
        </w:numPr>
        <w:pBdr>
          <w:top w:val="nil"/>
          <w:left w:val="nil"/>
          <w:bottom w:val="nil"/>
          <w:right w:val="nil"/>
          <w:between w:val="nil"/>
        </w:pBdr>
        <w:tabs>
          <w:tab w:val="left" w:pos="432"/>
          <w:tab w:val="left" w:pos="1836"/>
        </w:tabs>
        <w:spacing w:after="120" w:line="360" w:lineRule="auto"/>
        <w:jc w:val="both"/>
        <w:rPr>
          <w:rFonts w:ascii="Arial" w:eastAsia="Arial" w:hAnsi="Arial" w:cs="Arial"/>
          <w:color w:val="010000"/>
          <w:sz w:val="20"/>
          <w:szCs w:val="20"/>
        </w:rPr>
      </w:pPr>
      <w:r w:rsidRPr="00695673">
        <w:rPr>
          <w:rFonts w:ascii="Arial" w:hAnsi="Arial" w:cs="Arial"/>
          <w:color w:val="010000"/>
          <w:sz w:val="20"/>
        </w:rPr>
        <w:t>Information of Truong Xuan Loc Trading and Construction Joint Stock Company:</w:t>
      </w:r>
    </w:p>
    <w:p w14:paraId="00000005" w14:textId="77777777" w:rsidR="00716AB8" w:rsidRPr="00695673" w:rsidRDefault="002A2BA5" w:rsidP="00C6245D">
      <w:pPr>
        <w:numPr>
          <w:ilvl w:val="0"/>
          <w:numId w:val="2"/>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695673">
        <w:rPr>
          <w:rFonts w:ascii="Arial" w:hAnsi="Arial" w:cs="Arial"/>
          <w:color w:val="010000"/>
          <w:sz w:val="20"/>
        </w:rPr>
        <w:t>Enterprise name: Truong Xuan Loc Trading and Construction Joint Stock Company</w:t>
      </w:r>
    </w:p>
    <w:p w14:paraId="00000006" w14:textId="7A584AA7" w:rsidR="00716AB8" w:rsidRPr="00695673" w:rsidRDefault="002A2BA5" w:rsidP="00C6245D">
      <w:pPr>
        <w:numPr>
          <w:ilvl w:val="0"/>
          <w:numId w:val="2"/>
        </w:numPr>
        <w:pBdr>
          <w:top w:val="nil"/>
          <w:left w:val="nil"/>
          <w:bottom w:val="nil"/>
          <w:right w:val="nil"/>
          <w:between w:val="nil"/>
        </w:pBdr>
        <w:tabs>
          <w:tab w:val="left" w:pos="432"/>
          <w:tab w:val="left" w:pos="1925"/>
        </w:tabs>
        <w:spacing w:after="120" w:line="360" w:lineRule="auto"/>
        <w:jc w:val="both"/>
        <w:rPr>
          <w:rFonts w:ascii="Arial" w:eastAsia="Arial" w:hAnsi="Arial" w:cs="Arial"/>
          <w:color w:val="010000"/>
          <w:sz w:val="20"/>
          <w:szCs w:val="20"/>
        </w:rPr>
      </w:pPr>
      <w:r w:rsidRPr="00695673">
        <w:rPr>
          <w:rFonts w:ascii="Arial" w:hAnsi="Arial" w:cs="Arial"/>
          <w:color w:val="010000"/>
          <w:sz w:val="20"/>
        </w:rPr>
        <w:t xml:space="preserve">Address: </w:t>
      </w:r>
      <w:r w:rsidR="00E777D8" w:rsidRPr="00695673">
        <w:rPr>
          <w:rFonts w:ascii="Arial" w:hAnsi="Arial" w:cs="Arial"/>
          <w:color w:val="010000"/>
          <w:sz w:val="20"/>
        </w:rPr>
        <w:t xml:space="preserve">No. </w:t>
      </w:r>
      <w:r w:rsidRPr="00695673">
        <w:rPr>
          <w:rFonts w:ascii="Arial" w:hAnsi="Arial" w:cs="Arial"/>
          <w:color w:val="010000"/>
          <w:sz w:val="20"/>
        </w:rPr>
        <w:t xml:space="preserve">106, Lane 506, Vu Tong Phan Street, </w:t>
      </w:r>
      <w:proofErr w:type="spellStart"/>
      <w:r w:rsidRPr="00695673">
        <w:rPr>
          <w:rFonts w:ascii="Arial" w:hAnsi="Arial" w:cs="Arial"/>
          <w:color w:val="010000"/>
          <w:sz w:val="20"/>
        </w:rPr>
        <w:t>Khuong</w:t>
      </w:r>
      <w:proofErr w:type="spellEnd"/>
      <w:r w:rsidRPr="00695673">
        <w:rPr>
          <w:rFonts w:ascii="Arial" w:hAnsi="Arial" w:cs="Arial"/>
          <w:color w:val="010000"/>
          <w:sz w:val="20"/>
        </w:rPr>
        <w:t xml:space="preserve"> Dinh Ward, Thanh Xuan District, Hanoi City, Vietnam</w:t>
      </w:r>
    </w:p>
    <w:p w14:paraId="00000007" w14:textId="14D77905" w:rsidR="00716AB8" w:rsidRPr="00695673" w:rsidRDefault="002A2BA5" w:rsidP="00C6245D">
      <w:pPr>
        <w:numPr>
          <w:ilvl w:val="0"/>
          <w:numId w:val="2"/>
        </w:numPr>
        <w:pBdr>
          <w:top w:val="nil"/>
          <w:left w:val="nil"/>
          <w:bottom w:val="nil"/>
          <w:right w:val="nil"/>
          <w:between w:val="nil"/>
        </w:pBdr>
        <w:tabs>
          <w:tab w:val="left" w:pos="432"/>
          <w:tab w:val="left" w:pos="1925"/>
        </w:tabs>
        <w:spacing w:after="120" w:line="360" w:lineRule="auto"/>
        <w:jc w:val="both"/>
        <w:rPr>
          <w:rFonts w:ascii="Arial" w:eastAsia="Arial" w:hAnsi="Arial" w:cs="Arial"/>
          <w:color w:val="010000"/>
          <w:sz w:val="20"/>
          <w:szCs w:val="20"/>
        </w:rPr>
      </w:pPr>
      <w:r w:rsidRPr="00695673">
        <w:rPr>
          <w:rFonts w:ascii="Arial" w:hAnsi="Arial" w:cs="Arial"/>
          <w:color w:val="010000"/>
          <w:sz w:val="20"/>
        </w:rPr>
        <w:t>Business Registration Certificate</w:t>
      </w:r>
      <w:r w:rsidR="00637810" w:rsidRPr="00695673">
        <w:rPr>
          <w:rFonts w:ascii="Arial" w:hAnsi="Arial" w:cs="Arial"/>
          <w:color w:val="010000"/>
          <w:sz w:val="20"/>
        </w:rPr>
        <w:t>:</w:t>
      </w:r>
      <w:r w:rsidRPr="00695673">
        <w:rPr>
          <w:rFonts w:ascii="Arial" w:hAnsi="Arial" w:cs="Arial"/>
          <w:color w:val="010000"/>
          <w:sz w:val="20"/>
        </w:rPr>
        <w:t xml:space="preserve"> </w:t>
      </w:r>
      <w:r w:rsidR="00E777D8" w:rsidRPr="00695673">
        <w:rPr>
          <w:rFonts w:ascii="Arial" w:hAnsi="Arial" w:cs="Arial"/>
          <w:color w:val="010000"/>
          <w:sz w:val="20"/>
        </w:rPr>
        <w:t xml:space="preserve">No. </w:t>
      </w:r>
      <w:r w:rsidRPr="00695673">
        <w:rPr>
          <w:rFonts w:ascii="Arial" w:hAnsi="Arial" w:cs="Arial"/>
          <w:color w:val="010000"/>
          <w:sz w:val="20"/>
        </w:rPr>
        <w:t>0106807812 issued by the Business Registration Office - Hanoi Authority for Planning and Investment for the first time on April 1, 2015, registered for the 5th change on February 6, 2024.</w:t>
      </w:r>
    </w:p>
    <w:p w14:paraId="00000008" w14:textId="77777777" w:rsidR="00716AB8" w:rsidRPr="00695673" w:rsidRDefault="002A2BA5" w:rsidP="00C6245D">
      <w:pPr>
        <w:numPr>
          <w:ilvl w:val="0"/>
          <w:numId w:val="2"/>
        </w:numPr>
        <w:pBdr>
          <w:top w:val="nil"/>
          <w:left w:val="nil"/>
          <w:bottom w:val="nil"/>
          <w:right w:val="nil"/>
          <w:between w:val="nil"/>
        </w:pBdr>
        <w:tabs>
          <w:tab w:val="left" w:pos="432"/>
          <w:tab w:val="left" w:pos="1925"/>
        </w:tabs>
        <w:spacing w:after="120" w:line="360" w:lineRule="auto"/>
        <w:jc w:val="both"/>
        <w:rPr>
          <w:rFonts w:ascii="Arial" w:eastAsia="Arial" w:hAnsi="Arial" w:cs="Arial"/>
          <w:color w:val="010000"/>
          <w:sz w:val="20"/>
          <w:szCs w:val="20"/>
        </w:rPr>
      </w:pPr>
      <w:r w:rsidRPr="00695673">
        <w:rPr>
          <w:rFonts w:ascii="Arial" w:hAnsi="Arial" w:cs="Arial"/>
          <w:color w:val="010000"/>
          <w:sz w:val="20"/>
        </w:rPr>
        <w:t>Charter capital: VND300,000,000,000</w:t>
      </w:r>
    </w:p>
    <w:p w14:paraId="00000009" w14:textId="77777777" w:rsidR="00716AB8" w:rsidRPr="00695673" w:rsidRDefault="002A2BA5" w:rsidP="00C6245D">
      <w:pPr>
        <w:numPr>
          <w:ilvl w:val="0"/>
          <w:numId w:val="2"/>
        </w:numPr>
        <w:pBdr>
          <w:top w:val="nil"/>
          <w:left w:val="nil"/>
          <w:bottom w:val="nil"/>
          <w:right w:val="nil"/>
          <w:between w:val="nil"/>
        </w:pBdr>
        <w:tabs>
          <w:tab w:val="left" w:pos="432"/>
          <w:tab w:val="left" w:pos="1925"/>
        </w:tabs>
        <w:spacing w:after="120" w:line="360" w:lineRule="auto"/>
        <w:jc w:val="both"/>
        <w:rPr>
          <w:rFonts w:ascii="Arial" w:eastAsia="Arial" w:hAnsi="Arial" w:cs="Arial"/>
          <w:color w:val="010000"/>
          <w:sz w:val="20"/>
          <w:szCs w:val="20"/>
        </w:rPr>
      </w:pPr>
      <w:r w:rsidRPr="00695673">
        <w:rPr>
          <w:rFonts w:ascii="Arial" w:hAnsi="Arial" w:cs="Arial"/>
          <w:color w:val="010000"/>
          <w:sz w:val="20"/>
        </w:rPr>
        <w:t>Total number of shares: 30,000,000 shares</w:t>
      </w:r>
    </w:p>
    <w:p w14:paraId="0000000A" w14:textId="77777777" w:rsidR="00716AB8" w:rsidRPr="00695673" w:rsidRDefault="002A2BA5" w:rsidP="00C6245D">
      <w:pPr>
        <w:numPr>
          <w:ilvl w:val="0"/>
          <w:numId w:val="2"/>
        </w:numPr>
        <w:pBdr>
          <w:top w:val="nil"/>
          <w:left w:val="nil"/>
          <w:bottom w:val="nil"/>
          <w:right w:val="nil"/>
          <w:between w:val="nil"/>
        </w:pBdr>
        <w:tabs>
          <w:tab w:val="left" w:pos="432"/>
          <w:tab w:val="left" w:pos="1925"/>
        </w:tabs>
        <w:spacing w:after="120" w:line="360" w:lineRule="auto"/>
        <w:jc w:val="both"/>
        <w:rPr>
          <w:rFonts w:ascii="Arial" w:eastAsia="Arial" w:hAnsi="Arial" w:cs="Arial"/>
          <w:color w:val="010000"/>
          <w:sz w:val="20"/>
          <w:szCs w:val="20"/>
        </w:rPr>
      </w:pPr>
      <w:r w:rsidRPr="00695673">
        <w:rPr>
          <w:rFonts w:ascii="Arial" w:hAnsi="Arial" w:cs="Arial"/>
          <w:color w:val="010000"/>
          <w:sz w:val="20"/>
        </w:rPr>
        <w:t>Par value of share: VND10,000/share</w:t>
      </w:r>
    </w:p>
    <w:p w14:paraId="0000000B" w14:textId="77777777" w:rsidR="00716AB8" w:rsidRPr="00695673" w:rsidRDefault="002A2BA5" w:rsidP="00C6245D">
      <w:pPr>
        <w:numPr>
          <w:ilvl w:val="0"/>
          <w:numId w:val="1"/>
        </w:numPr>
        <w:pBdr>
          <w:top w:val="nil"/>
          <w:left w:val="nil"/>
          <w:bottom w:val="nil"/>
          <w:right w:val="nil"/>
          <w:between w:val="nil"/>
        </w:pBdr>
        <w:tabs>
          <w:tab w:val="left" w:pos="432"/>
          <w:tab w:val="left" w:pos="1846"/>
        </w:tabs>
        <w:spacing w:after="120" w:line="360" w:lineRule="auto"/>
        <w:jc w:val="both"/>
        <w:rPr>
          <w:rFonts w:ascii="Arial" w:eastAsia="Arial" w:hAnsi="Arial" w:cs="Arial"/>
          <w:color w:val="010000"/>
          <w:sz w:val="20"/>
          <w:szCs w:val="20"/>
        </w:rPr>
      </w:pPr>
      <w:r w:rsidRPr="00695673">
        <w:rPr>
          <w:rFonts w:ascii="Arial" w:hAnsi="Arial" w:cs="Arial"/>
          <w:color w:val="010000"/>
          <w:sz w:val="20"/>
        </w:rPr>
        <w:t>Capital contribution plan:</w:t>
      </w:r>
    </w:p>
    <w:p w14:paraId="0000000C" w14:textId="77777777" w:rsidR="00716AB8" w:rsidRPr="00695673" w:rsidRDefault="002A2BA5" w:rsidP="00C6245D">
      <w:pPr>
        <w:numPr>
          <w:ilvl w:val="0"/>
          <w:numId w:val="2"/>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695673">
        <w:rPr>
          <w:rFonts w:ascii="Arial" w:hAnsi="Arial" w:cs="Arial"/>
          <w:color w:val="010000"/>
          <w:sz w:val="20"/>
        </w:rPr>
        <w:t>Maximum total investment value: VND95,000,000,000</w:t>
      </w:r>
    </w:p>
    <w:p w14:paraId="0000000D" w14:textId="77777777" w:rsidR="00716AB8" w:rsidRPr="00695673" w:rsidRDefault="002A2BA5" w:rsidP="00C6245D">
      <w:pPr>
        <w:numPr>
          <w:ilvl w:val="0"/>
          <w:numId w:val="2"/>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695673">
        <w:rPr>
          <w:rFonts w:ascii="Arial" w:hAnsi="Arial" w:cs="Arial"/>
          <w:color w:val="010000"/>
          <w:sz w:val="20"/>
        </w:rPr>
        <w:t>Par value of share: VND10,000/share</w:t>
      </w:r>
    </w:p>
    <w:p w14:paraId="0000000E" w14:textId="77777777" w:rsidR="00716AB8" w:rsidRPr="00695673" w:rsidRDefault="002A2BA5" w:rsidP="00C6245D">
      <w:pPr>
        <w:numPr>
          <w:ilvl w:val="0"/>
          <w:numId w:val="2"/>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695673">
        <w:rPr>
          <w:rFonts w:ascii="Arial" w:hAnsi="Arial" w:cs="Arial"/>
          <w:color w:val="010000"/>
          <w:sz w:val="20"/>
        </w:rPr>
        <w:t>Number of shares registered to buy: 9,500,000 shares, equivalent to the rate of 31.66% of charter capital</w:t>
      </w:r>
    </w:p>
    <w:p w14:paraId="0000000F" w14:textId="77777777" w:rsidR="00716AB8" w:rsidRPr="00695673" w:rsidRDefault="002A2BA5" w:rsidP="00C6245D">
      <w:pPr>
        <w:numPr>
          <w:ilvl w:val="0"/>
          <w:numId w:val="2"/>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695673">
        <w:rPr>
          <w:rFonts w:ascii="Arial" w:hAnsi="Arial" w:cs="Arial"/>
          <w:color w:val="010000"/>
          <w:sz w:val="20"/>
        </w:rPr>
        <w:t>Capital source: From the business capital source of the Company.</w:t>
      </w:r>
    </w:p>
    <w:p w14:paraId="00000010" w14:textId="77777777" w:rsidR="00716AB8" w:rsidRPr="00695673" w:rsidRDefault="002A2BA5" w:rsidP="00C6245D">
      <w:pPr>
        <w:numPr>
          <w:ilvl w:val="0"/>
          <w:numId w:val="2"/>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695673">
        <w:rPr>
          <w:rFonts w:ascii="Arial" w:hAnsi="Arial" w:cs="Arial"/>
          <w:color w:val="010000"/>
          <w:sz w:val="20"/>
        </w:rPr>
        <w:t>The time for investment: Long-term</w:t>
      </w:r>
    </w:p>
    <w:p w14:paraId="00000011" w14:textId="77777777" w:rsidR="00716AB8" w:rsidRPr="00695673" w:rsidRDefault="002A2BA5" w:rsidP="00C6245D">
      <w:pPr>
        <w:numPr>
          <w:ilvl w:val="0"/>
          <w:numId w:val="1"/>
        </w:numPr>
        <w:pBdr>
          <w:top w:val="nil"/>
          <w:left w:val="nil"/>
          <w:bottom w:val="nil"/>
          <w:right w:val="nil"/>
          <w:between w:val="nil"/>
        </w:pBdr>
        <w:tabs>
          <w:tab w:val="left" w:pos="432"/>
          <w:tab w:val="left" w:pos="1690"/>
        </w:tabs>
        <w:spacing w:after="120" w:line="360" w:lineRule="auto"/>
        <w:jc w:val="both"/>
        <w:rPr>
          <w:rFonts w:ascii="Arial" w:eastAsia="Arial" w:hAnsi="Arial" w:cs="Arial"/>
          <w:color w:val="010000"/>
          <w:sz w:val="20"/>
          <w:szCs w:val="20"/>
        </w:rPr>
      </w:pPr>
      <w:r w:rsidRPr="00695673">
        <w:rPr>
          <w:rFonts w:ascii="Arial" w:hAnsi="Arial" w:cs="Arial"/>
          <w:color w:val="010000"/>
          <w:sz w:val="20"/>
        </w:rPr>
        <w:t>Transactions between the Company and relevant parties:</w:t>
      </w:r>
    </w:p>
    <w:p w14:paraId="00000012" w14:textId="7C6215C7"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5673">
        <w:rPr>
          <w:rFonts w:ascii="Arial" w:hAnsi="Arial" w:cs="Arial"/>
          <w:color w:val="010000"/>
          <w:sz w:val="20"/>
        </w:rPr>
        <w:t xml:space="preserve">Approve the contracts, </w:t>
      </w:r>
      <w:r w:rsidR="00637810" w:rsidRPr="00695673">
        <w:rPr>
          <w:rFonts w:ascii="Arial" w:hAnsi="Arial" w:cs="Arial"/>
          <w:color w:val="010000"/>
          <w:sz w:val="20"/>
        </w:rPr>
        <w:t xml:space="preserve">and </w:t>
      </w:r>
      <w:r w:rsidRPr="00695673">
        <w:rPr>
          <w:rFonts w:ascii="Arial" w:hAnsi="Arial" w:cs="Arial"/>
          <w:color w:val="010000"/>
          <w:sz w:val="20"/>
        </w:rPr>
        <w:t xml:space="preserve">transactions in the futures between VINA2 Investment and Construction Joint Stock Company and Truong Xuan Loc Trading and Construction Joint Stock Company according to regulations in Article 167 of Law on Enterprises </w:t>
      </w:r>
      <w:r w:rsidR="00E777D8" w:rsidRPr="00695673">
        <w:rPr>
          <w:rFonts w:ascii="Arial" w:hAnsi="Arial" w:cs="Arial"/>
          <w:color w:val="010000"/>
          <w:sz w:val="20"/>
        </w:rPr>
        <w:t xml:space="preserve">No. </w:t>
      </w:r>
      <w:r w:rsidRPr="00695673">
        <w:rPr>
          <w:rFonts w:ascii="Arial" w:hAnsi="Arial" w:cs="Arial"/>
          <w:color w:val="010000"/>
          <w:sz w:val="20"/>
        </w:rPr>
        <w:t>59/2020/QH14 dated June 17, 202</w:t>
      </w:r>
      <w:r w:rsidR="00695673" w:rsidRPr="00695673">
        <w:rPr>
          <w:rFonts w:ascii="Arial" w:hAnsi="Arial" w:cs="Arial"/>
          <w:color w:val="010000"/>
          <w:sz w:val="20"/>
        </w:rPr>
        <w:t>0</w:t>
      </w:r>
      <w:r w:rsidRPr="00695673">
        <w:rPr>
          <w:rFonts w:ascii="Arial" w:hAnsi="Arial" w:cs="Arial"/>
          <w:color w:val="010000"/>
          <w:sz w:val="20"/>
        </w:rPr>
        <w:t xml:space="preserve"> and Article 293 of Decree </w:t>
      </w:r>
      <w:r w:rsidR="00E777D8" w:rsidRPr="00695673">
        <w:rPr>
          <w:rFonts w:ascii="Arial" w:hAnsi="Arial" w:cs="Arial"/>
          <w:color w:val="010000"/>
          <w:sz w:val="20"/>
        </w:rPr>
        <w:t xml:space="preserve">No. </w:t>
      </w:r>
      <w:r w:rsidRPr="00695673">
        <w:rPr>
          <w:rFonts w:ascii="Arial" w:hAnsi="Arial" w:cs="Arial"/>
          <w:color w:val="010000"/>
          <w:sz w:val="20"/>
        </w:rPr>
        <w:t>155/2020/</w:t>
      </w:r>
      <w:r w:rsidR="00C6245D">
        <w:rPr>
          <w:rFonts w:ascii="Arial" w:hAnsi="Arial" w:cs="Arial"/>
          <w:color w:val="010000"/>
          <w:sz w:val="20"/>
        </w:rPr>
        <w:t>ND-CP dated December 31, 2020 by</w:t>
      </w:r>
      <w:r w:rsidRPr="00695673">
        <w:rPr>
          <w:rFonts w:ascii="Arial" w:hAnsi="Arial" w:cs="Arial"/>
          <w:color w:val="010000"/>
          <w:sz w:val="20"/>
        </w:rPr>
        <w:t xml:space="preserve"> the Government detailing the implementation of a number of articles of the Law on Securities.</w:t>
      </w:r>
    </w:p>
    <w:p w14:paraId="00000013" w14:textId="77777777"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5673">
        <w:rPr>
          <w:rFonts w:ascii="Arial" w:hAnsi="Arial" w:cs="Arial"/>
          <w:color w:val="010000"/>
          <w:sz w:val="20"/>
        </w:rPr>
        <w:t>‎‎Article 2. Implementation and organization:</w:t>
      </w:r>
    </w:p>
    <w:p w14:paraId="00000014" w14:textId="77777777"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5673">
        <w:rPr>
          <w:rFonts w:ascii="Arial" w:hAnsi="Arial" w:cs="Arial"/>
          <w:color w:val="010000"/>
          <w:sz w:val="20"/>
        </w:rPr>
        <w:t xml:space="preserve">The Board of Directors appointed Mr. Nguyen </w:t>
      </w:r>
      <w:proofErr w:type="spellStart"/>
      <w:r w:rsidRPr="00695673">
        <w:rPr>
          <w:rFonts w:ascii="Arial" w:hAnsi="Arial" w:cs="Arial"/>
          <w:color w:val="010000"/>
          <w:sz w:val="20"/>
        </w:rPr>
        <w:t>Huy</w:t>
      </w:r>
      <w:proofErr w:type="spellEnd"/>
      <w:r w:rsidRPr="00695673">
        <w:rPr>
          <w:rFonts w:ascii="Arial" w:hAnsi="Arial" w:cs="Arial"/>
          <w:color w:val="010000"/>
          <w:sz w:val="20"/>
        </w:rPr>
        <w:t xml:space="preserve"> Quang - Position: Vice Chair of the Board of Directors as the representative of the contributed capital of the Company at Truong Xuan Loc Trading and Construction Joint Stock Company after completion of the investment.</w:t>
      </w:r>
    </w:p>
    <w:p w14:paraId="00000015" w14:textId="31769658"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5673">
        <w:rPr>
          <w:rFonts w:ascii="Arial" w:hAnsi="Arial" w:cs="Arial"/>
          <w:color w:val="010000"/>
          <w:sz w:val="20"/>
        </w:rPr>
        <w:lastRenderedPageBreak/>
        <w:t xml:space="preserve">The Board of Directors authorized the </w:t>
      </w:r>
      <w:r w:rsidR="00C6245D">
        <w:rPr>
          <w:rFonts w:ascii="Arial" w:hAnsi="Arial" w:cs="Arial"/>
          <w:color w:val="010000"/>
          <w:sz w:val="20"/>
        </w:rPr>
        <w:t>Managing Director-cum-</w:t>
      </w:r>
      <w:r w:rsidRPr="00695673">
        <w:rPr>
          <w:rFonts w:ascii="Arial" w:hAnsi="Arial" w:cs="Arial"/>
          <w:color w:val="010000"/>
          <w:sz w:val="20"/>
        </w:rPr>
        <w:t>Legal representative of the Company to:</w:t>
      </w:r>
    </w:p>
    <w:p w14:paraId="00000016" w14:textId="77777777" w:rsidR="00716AB8" w:rsidRPr="00695673" w:rsidRDefault="002A2BA5" w:rsidP="00C6245D">
      <w:pPr>
        <w:numPr>
          <w:ilvl w:val="0"/>
          <w:numId w:val="2"/>
        </w:numPr>
        <w:pBdr>
          <w:top w:val="nil"/>
          <w:left w:val="nil"/>
          <w:bottom w:val="nil"/>
          <w:right w:val="nil"/>
          <w:between w:val="nil"/>
        </w:pBdr>
        <w:tabs>
          <w:tab w:val="left" w:pos="432"/>
          <w:tab w:val="left" w:pos="2978"/>
          <w:tab w:val="left" w:pos="3305"/>
          <w:tab w:val="left" w:pos="3701"/>
          <w:tab w:val="left" w:pos="4630"/>
          <w:tab w:val="left" w:pos="5404"/>
          <w:tab w:val="left" w:pos="5647"/>
          <w:tab w:val="left" w:pos="10098"/>
        </w:tabs>
        <w:spacing w:after="120" w:line="360" w:lineRule="auto"/>
        <w:jc w:val="both"/>
        <w:rPr>
          <w:rFonts w:ascii="Arial" w:eastAsia="Arial" w:hAnsi="Arial" w:cs="Arial"/>
          <w:color w:val="010000"/>
          <w:sz w:val="20"/>
          <w:szCs w:val="20"/>
        </w:rPr>
      </w:pPr>
      <w:r w:rsidRPr="00695673">
        <w:rPr>
          <w:rFonts w:ascii="Arial" w:hAnsi="Arial" w:cs="Arial"/>
          <w:color w:val="010000"/>
          <w:sz w:val="20"/>
        </w:rPr>
        <w:t>Decide on the time to buy shares;</w:t>
      </w:r>
    </w:p>
    <w:p w14:paraId="00000017" w14:textId="2661D8FD" w:rsidR="00716AB8" w:rsidRPr="00695673" w:rsidRDefault="002A2BA5" w:rsidP="00C6245D">
      <w:pPr>
        <w:numPr>
          <w:ilvl w:val="0"/>
          <w:numId w:val="2"/>
        </w:numPr>
        <w:pBdr>
          <w:top w:val="nil"/>
          <w:left w:val="nil"/>
          <w:bottom w:val="nil"/>
          <w:right w:val="nil"/>
          <w:between w:val="nil"/>
        </w:pBdr>
        <w:tabs>
          <w:tab w:val="left" w:pos="432"/>
          <w:tab w:val="left" w:pos="2978"/>
          <w:tab w:val="left" w:pos="3305"/>
          <w:tab w:val="left" w:pos="3701"/>
          <w:tab w:val="left" w:pos="4630"/>
          <w:tab w:val="left" w:pos="5404"/>
          <w:tab w:val="left" w:pos="5647"/>
          <w:tab w:val="left" w:pos="10098"/>
        </w:tabs>
        <w:spacing w:after="120" w:line="360" w:lineRule="auto"/>
        <w:jc w:val="both"/>
        <w:rPr>
          <w:rFonts w:ascii="Arial" w:eastAsia="Arial" w:hAnsi="Arial" w:cs="Arial"/>
          <w:color w:val="010000"/>
          <w:sz w:val="20"/>
          <w:szCs w:val="20"/>
        </w:rPr>
      </w:pPr>
      <w:r w:rsidRPr="00695673">
        <w:rPr>
          <w:rFonts w:ascii="Arial" w:hAnsi="Arial" w:cs="Arial"/>
          <w:color w:val="010000"/>
          <w:sz w:val="20"/>
        </w:rPr>
        <w:t xml:space="preserve">Actively negotiate, </w:t>
      </w:r>
      <w:r w:rsidR="00637810" w:rsidRPr="00695673">
        <w:rPr>
          <w:rFonts w:ascii="Arial" w:hAnsi="Arial" w:cs="Arial"/>
          <w:color w:val="010000"/>
          <w:sz w:val="20"/>
        </w:rPr>
        <w:t xml:space="preserve">and </w:t>
      </w:r>
      <w:r w:rsidRPr="00695673">
        <w:rPr>
          <w:rFonts w:ascii="Arial" w:hAnsi="Arial" w:cs="Arial"/>
          <w:color w:val="010000"/>
          <w:sz w:val="20"/>
        </w:rPr>
        <w:t>approve contents in contract to transfer shares with partner; at the same time, direct the implementation of buying shares according to the policy approved by the Board of Directors.</w:t>
      </w:r>
    </w:p>
    <w:p w14:paraId="00000018" w14:textId="59ED6E5A"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5673">
        <w:rPr>
          <w:rFonts w:ascii="Arial" w:hAnsi="Arial" w:cs="Arial"/>
          <w:color w:val="010000"/>
          <w:sz w:val="20"/>
        </w:rPr>
        <w:t xml:space="preserve">‎‎Article 3. This </w:t>
      </w:r>
      <w:r w:rsidR="00C6245D">
        <w:rPr>
          <w:rFonts w:ascii="Arial" w:hAnsi="Arial" w:cs="Arial"/>
          <w:color w:val="010000"/>
          <w:sz w:val="20"/>
        </w:rPr>
        <w:t xml:space="preserve">Board </w:t>
      </w:r>
      <w:r w:rsidRPr="00695673">
        <w:rPr>
          <w:rFonts w:ascii="Arial" w:hAnsi="Arial" w:cs="Arial"/>
          <w:color w:val="010000"/>
          <w:sz w:val="20"/>
        </w:rPr>
        <w:t>Resolution takes effect from the date of its signing.</w:t>
      </w:r>
    </w:p>
    <w:p w14:paraId="00000019" w14:textId="72343F30" w:rsidR="00716AB8" w:rsidRPr="00695673" w:rsidRDefault="002A2BA5" w:rsidP="00C624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5673">
        <w:rPr>
          <w:rFonts w:ascii="Arial" w:hAnsi="Arial" w:cs="Arial"/>
          <w:color w:val="010000"/>
          <w:sz w:val="20"/>
        </w:rPr>
        <w:t xml:space="preserve">Members of the Board of Directors, </w:t>
      </w:r>
      <w:r w:rsidR="00C6245D">
        <w:rPr>
          <w:rFonts w:ascii="Arial" w:hAnsi="Arial" w:cs="Arial"/>
          <w:color w:val="010000"/>
          <w:sz w:val="20"/>
        </w:rPr>
        <w:t>Managing Director, Chief Accountant and</w:t>
      </w:r>
      <w:bookmarkStart w:id="0" w:name="_GoBack"/>
      <w:bookmarkEnd w:id="0"/>
      <w:r w:rsidR="00C6245D">
        <w:rPr>
          <w:rFonts w:ascii="Arial" w:hAnsi="Arial" w:cs="Arial"/>
          <w:color w:val="010000"/>
          <w:sz w:val="20"/>
        </w:rPr>
        <w:t xml:space="preserve"> relevant professional, </w:t>
      </w:r>
      <w:r w:rsidRPr="00695673">
        <w:rPr>
          <w:rFonts w:ascii="Arial" w:hAnsi="Arial" w:cs="Arial"/>
          <w:color w:val="010000"/>
          <w:sz w:val="20"/>
        </w:rPr>
        <w:t>functional Departments, and individuals are responsible for implementing this Resolution./.</w:t>
      </w:r>
    </w:p>
    <w:sectPr w:rsidR="00716AB8" w:rsidRPr="00695673" w:rsidSect="00F204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5657"/>
    <w:multiLevelType w:val="multilevel"/>
    <w:tmpl w:val="0A1AD5D4"/>
    <w:lvl w:ilvl="0">
      <w:start w:val="1"/>
      <w:numFmt w:val="bullet"/>
      <w:lvlText w:val="-"/>
      <w:lvlJc w:val="left"/>
      <w:pPr>
        <w:ind w:left="0" w:firstLine="0"/>
      </w:pPr>
      <w:rPr>
        <w:rFonts w:ascii="Arial" w:eastAsia="Arial" w:hAnsi="Arial" w:cs="Arial"/>
        <w:b w:val="0"/>
        <w:i w:val="0"/>
        <w:smallCaps w:val="0"/>
        <w:strike w:val="0"/>
        <w:color w:val="2C2E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38A218D"/>
    <w:multiLevelType w:val="multilevel"/>
    <w:tmpl w:val="C7D237F8"/>
    <w:lvl w:ilvl="0">
      <w:start w:val="1"/>
      <w:numFmt w:val="decimal"/>
      <w:lvlText w:val="1.%1"/>
      <w:lvlJc w:val="left"/>
      <w:pPr>
        <w:ind w:left="0" w:firstLine="0"/>
      </w:pPr>
      <w:rPr>
        <w:rFonts w:ascii="Arial" w:eastAsia="Arial" w:hAnsi="Arial" w:cs="Arial"/>
        <w:b w:val="0"/>
        <w:i w:val="0"/>
        <w:smallCaps w:val="0"/>
        <w:strike w:val="0"/>
        <w:color w:val="2C2E2B"/>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8"/>
    <w:rsid w:val="002A2BA5"/>
    <w:rsid w:val="00637810"/>
    <w:rsid w:val="00695673"/>
    <w:rsid w:val="00716AB8"/>
    <w:rsid w:val="007A48C2"/>
    <w:rsid w:val="00C6245D"/>
    <w:rsid w:val="00E777D8"/>
    <w:rsid w:val="00F20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DB5E2"/>
  <w15:docId w15:val="{34D795ED-258D-4361-99B1-AD95590B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C2E2B"/>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F2262E"/>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F2262E"/>
      <w:sz w:val="18"/>
      <w:szCs w:val="1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color w:val="2C2E2B"/>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C2E2B"/>
      <w:sz w:val="17"/>
      <w:szCs w:val="17"/>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0"/>
      <w:szCs w:val="4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color w:val="2C2E2B"/>
    </w:rPr>
  </w:style>
  <w:style w:type="paragraph" w:customStyle="1" w:styleId="Vnbnnidung50">
    <w:name w:val="Văn bản nội dung (5)"/>
    <w:basedOn w:val="Normal"/>
    <w:link w:val="Vnbnnidung5"/>
    <w:pPr>
      <w:jc w:val="right"/>
    </w:pPr>
    <w:rPr>
      <w:rFonts w:ascii="Arial" w:eastAsia="Arial" w:hAnsi="Arial" w:cs="Arial"/>
      <w:color w:val="F2262E"/>
      <w:sz w:val="16"/>
      <w:szCs w:val="16"/>
    </w:rPr>
  </w:style>
  <w:style w:type="paragraph" w:customStyle="1" w:styleId="Vnbnnidung40">
    <w:name w:val="Văn bản nội dung (4)"/>
    <w:basedOn w:val="Normal"/>
    <w:link w:val="Vnbnnidung4"/>
    <w:pPr>
      <w:jc w:val="right"/>
    </w:pPr>
    <w:rPr>
      <w:rFonts w:ascii="Arial" w:eastAsia="Arial" w:hAnsi="Arial" w:cs="Arial"/>
      <w:color w:val="F2262E"/>
      <w:sz w:val="18"/>
      <w:szCs w:val="18"/>
    </w:rPr>
  </w:style>
  <w:style w:type="paragraph" w:customStyle="1" w:styleId="Mclc0">
    <w:name w:val="Mục lục"/>
    <w:basedOn w:val="Normal"/>
    <w:link w:val="Mclc"/>
    <w:pPr>
      <w:spacing w:line="360" w:lineRule="auto"/>
      <w:ind w:left="1480" w:firstLine="30"/>
    </w:pPr>
    <w:rPr>
      <w:rFonts w:ascii="Times New Roman" w:eastAsia="Times New Roman" w:hAnsi="Times New Roman" w:cs="Times New Roman"/>
      <w:color w:val="2C2E2B"/>
    </w:rPr>
  </w:style>
  <w:style w:type="paragraph" w:customStyle="1" w:styleId="Vnbnnidung30">
    <w:name w:val="Văn bản nội dung (3)"/>
    <w:basedOn w:val="Normal"/>
    <w:link w:val="Vnbnnidung3"/>
    <w:pPr>
      <w:ind w:left="1480"/>
    </w:pPr>
    <w:rPr>
      <w:rFonts w:ascii="Times New Roman" w:eastAsia="Times New Roman" w:hAnsi="Times New Roman" w:cs="Times New Roman"/>
      <w:color w:val="2C2E2B"/>
      <w:sz w:val="17"/>
      <w:szCs w:val="17"/>
    </w:rPr>
  </w:style>
  <w:style w:type="paragraph" w:customStyle="1" w:styleId="Tiu10">
    <w:name w:val="Tiêu đề #1"/>
    <w:basedOn w:val="Normal"/>
    <w:link w:val="Tiu1"/>
    <w:pPr>
      <w:ind w:left="400" w:firstLine="40"/>
      <w:outlineLvl w:val="0"/>
    </w:pPr>
    <w:rPr>
      <w:rFonts w:ascii="Arial" w:eastAsia="Arial" w:hAnsi="Arial" w:cs="Arial"/>
      <w:sz w:val="40"/>
      <w:szCs w:val="40"/>
    </w:rPr>
  </w:style>
  <w:style w:type="paragraph" w:customStyle="1" w:styleId="Vnbnnidung20">
    <w:name w:val="Văn bản nội dung (2)"/>
    <w:basedOn w:val="Normal"/>
    <w:link w:val="Vnbnnidung2"/>
    <w:pPr>
      <w:spacing w:line="233" w:lineRule="auto"/>
    </w:pPr>
    <w:rPr>
      <w:rFonts w:ascii="Arial" w:eastAsia="Arial" w:hAnsi="Arial" w:cs="Arial"/>
      <w:sz w:val="11"/>
      <w:szCs w:val="1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tlEmDhYc2JbEwd2FJalnCXamQ==">CgMxLjA4AHIhMWprR1RONU42WEtBRWhZME1JaDU5MV9jajNGUkVWQURJ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2024-06-25T04:04:00Z</dcterms:created>
  <dcterms:modified xsi:type="dcterms:W3CDTF">2024-06-25T04:04:00Z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b1de021b351521bac716be486a1f3599372dda9d8adffe199fa11b48a374bcde</vt:lpwstr>
  </property>
</Properties>
</file>