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EC7D" w14:textId="77777777" w:rsidR="00B55384" w:rsidRPr="006260F1" w:rsidRDefault="00665F00" w:rsidP="00211A61">
      <w:pPr>
        <w:widowControl/>
        <w:pBdr>
          <w:top w:val="nil"/>
          <w:left w:val="nil"/>
          <w:bottom w:val="nil"/>
          <w:right w:val="nil"/>
          <w:between w:val="nil"/>
        </w:pBdr>
        <w:tabs>
          <w:tab w:val="left" w:pos="432"/>
          <w:tab w:val="left" w:pos="540"/>
        </w:tabs>
        <w:spacing w:after="120" w:line="360" w:lineRule="auto"/>
        <w:jc w:val="both"/>
        <w:rPr>
          <w:rFonts w:ascii="Arial" w:eastAsia="Arial" w:hAnsi="Arial" w:cs="Arial"/>
          <w:b/>
          <w:color w:val="010000"/>
          <w:sz w:val="20"/>
          <w:szCs w:val="20"/>
        </w:rPr>
      </w:pPr>
      <w:r w:rsidRPr="006260F1">
        <w:rPr>
          <w:rFonts w:ascii="Arial" w:hAnsi="Arial" w:cs="Arial"/>
          <w:b/>
          <w:color w:val="010000"/>
          <w:sz w:val="20"/>
        </w:rPr>
        <w:t>SHS: Board Decision</w:t>
      </w:r>
    </w:p>
    <w:p w14:paraId="28495140" w14:textId="77777777" w:rsidR="00B55384" w:rsidRPr="006260F1" w:rsidRDefault="00665F00" w:rsidP="00211A61">
      <w:pPr>
        <w:widowControl/>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On June 21, 2024, Saigon - Hanoi Securities JSC announced Decision </w:t>
      </w:r>
      <w:r w:rsidR="008C2539" w:rsidRPr="006260F1">
        <w:rPr>
          <w:rFonts w:ascii="Arial" w:hAnsi="Arial" w:cs="Arial"/>
          <w:color w:val="010000"/>
          <w:sz w:val="20"/>
        </w:rPr>
        <w:t xml:space="preserve">No. </w:t>
      </w:r>
      <w:r w:rsidRPr="006260F1">
        <w:rPr>
          <w:rFonts w:ascii="Arial" w:hAnsi="Arial" w:cs="Arial"/>
          <w:color w:val="010000"/>
          <w:sz w:val="20"/>
        </w:rPr>
        <w:t xml:space="preserve">35-2024/QD-HDQT on implementing the plan on share issuance to increase </w:t>
      </w:r>
      <w:r w:rsidR="000B71A8" w:rsidRPr="006260F1">
        <w:rPr>
          <w:rFonts w:ascii="Arial" w:hAnsi="Arial" w:cs="Arial"/>
          <w:color w:val="010000"/>
          <w:sz w:val="20"/>
        </w:rPr>
        <w:t xml:space="preserve">the </w:t>
      </w:r>
      <w:r w:rsidRPr="006260F1">
        <w:rPr>
          <w:rFonts w:ascii="Arial" w:hAnsi="Arial" w:cs="Arial"/>
          <w:color w:val="010000"/>
          <w:sz w:val="20"/>
        </w:rPr>
        <w:t>charter capital 2024 as follows:</w:t>
      </w:r>
      <w:r w:rsidRPr="006260F1">
        <w:rPr>
          <w:rFonts w:ascii="Arial" w:hAnsi="Arial" w:cs="Arial"/>
          <w:color w:val="010000"/>
          <w:sz w:val="20"/>
        </w:rPr>
        <w:tab/>
      </w:r>
    </w:p>
    <w:p w14:paraId="1FBED5ED"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‎‎Article 1. Approve simultaneously implem</w:t>
      </w:r>
      <w:bookmarkStart w:id="0" w:name="_GoBack"/>
      <w:bookmarkEnd w:id="0"/>
      <w:r w:rsidRPr="006260F1">
        <w:rPr>
          <w:rFonts w:ascii="Arial" w:hAnsi="Arial" w:cs="Arial"/>
          <w:color w:val="010000"/>
          <w:sz w:val="20"/>
        </w:rPr>
        <w:t xml:space="preserve">enting 03 plans on share issuance to increase </w:t>
      </w:r>
      <w:r w:rsidR="000B71A8" w:rsidRPr="006260F1">
        <w:rPr>
          <w:rFonts w:ascii="Arial" w:hAnsi="Arial" w:cs="Arial"/>
          <w:color w:val="010000"/>
          <w:sz w:val="20"/>
        </w:rPr>
        <w:t xml:space="preserve">the </w:t>
      </w:r>
      <w:r w:rsidRPr="006260F1">
        <w:rPr>
          <w:rFonts w:ascii="Arial" w:hAnsi="Arial" w:cs="Arial"/>
          <w:color w:val="010000"/>
          <w:sz w:val="20"/>
        </w:rPr>
        <w:t xml:space="preserve">charter capital of Saigon - Hanoi Securities JSC in 2024 according to General Mandate </w:t>
      </w:r>
      <w:r w:rsidR="008C2539" w:rsidRPr="006260F1">
        <w:rPr>
          <w:rFonts w:ascii="Arial" w:hAnsi="Arial" w:cs="Arial"/>
          <w:color w:val="010000"/>
          <w:sz w:val="20"/>
        </w:rPr>
        <w:t xml:space="preserve">No. </w:t>
      </w:r>
      <w:r w:rsidRPr="006260F1">
        <w:rPr>
          <w:rFonts w:ascii="Arial" w:hAnsi="Arial" w:cs="Arial"/>
          <w:color w:val="010000"/>
          <w:sz w:val="20"/>
        </w:rPr>
        <w:t>01-2024/NQ-DHDCD dated May 15, 2024, specifically as follows:</w:t>
      </w:r>
    </w:p>
    <w:p w14:paraId="7721981F" w14:textId="77777777" w:rsidR="00B55384" w:rsidRPr="006260F1" w:rsidRDefault="00665F00" w:rsidP="00211A61">
      <w:pPr>
        <w:keepNext/>
        <w:numPr>
          <w:ilvl w:val="0"/>
          <w:numId w:val="3"/>
        </w:numPr>
        <w:pBdr>
          <w:top w:val="nil"/>
          <w:left w:val="nil"/>
          <w:bottom w:val="nil"/>
          <w:right w:val="nil"/>
          <w:between w:val="nil"/>
        </w:pBdr>
        <w:tabs>
          <w:tab w:val="left" w:pos="432"/>
          <w:tab w:val="left" w:pos="540"/>
          <w:tab w:val="left" w:pos="1386"/>
        </w:tabs>
        <w:spacing w:after="120" w:line="360" w:lineRule="auto"/>
        <w:jc w:val="both"/>
        <w:rPr>
          <w:rFonts w:ascii="Arial" w:eastAsia="Arial" w:hAnsi="Arial" w:cs="Arial"/>
          <w:color w:val="010000"/>
          <w:sz w:val="20"/>
          <w:szCs w:val="20"/>
        </w:rPr>
      </w:pPr>
      <w:r w:rsidRPr="006260F1">
        <w:rPr>
          <w:rFonts w:ascii="Arial" w:hAnsi="Arial" w:cs="Arial"/>
          <w:color w:val="010000"/>
          <w:sz w:val="20"/>
        </w:rPr>
        <w:t>Plans including:</w:t>
      </w:r>
    </w:p>
    <w:p w14:paraId="5ED5D1D9" w14:textId="77777777" w:rsidR="00B55384" w:rsidRPr="006260F1" w:rsidRDefault="00665F00" w:rsidP="00211A61">
      <w:pPr>
        <w:numPr>
          <w:ilvl w:val="0"/>
          <w:numId w:val="4"/>
        </w:numPr>
        <w:pBdr>
          <w:top w:val="nil"/>
          <w:left w:val="nil"/>
          <w:bottom w:val="nil"/>
          <w:right w:val="nil"/>
          <w:between w:val="nil"/>
        </w:pBdr>
        <w:tabs>
          <w:tab w:val="left" w:pos="432"/>
          <w:tab w:val="left" w:pos="540"/>
          <w:tab w:val="left" w:pos="1369"/>
        </w:tabs>
        <w:spacing w:after="120" w:line="360" w:lineRule="auto"/>
        <w:jc w:val="both"/>
        <w:rPr>
          <w:rFonts w:ascii="Arial" w:eastAsia="Arial" w:hAnsi="Arial" w:cs="Arial"/>
          <w:color w:val="010000"/>
          <w:sz w:val="20"/>
          <w:szCs w:val="20"/>
        </w:rPr>
      </w:pPr>
      <w:r w:rsidRPr="006260F1">
        <w:rPr>
          <w:rFonts w:ascii="Arial" w:hAnsi="Arial" w:cs="Arial"/>
          <w:color w:val="010000"/>
          <w:sz w:val="20"/>
        </w:rPr>
        <w:t>Issue shares to pay dividends 2023;</w:t>
      </w:r>
    </w:p>
    <w:p w14:paraId="4BE063F3" w14:textId="77777777" w:rsidR="00B55384" w:rsidRPr="006260F1" w:rsidRDefault="00665F00" w:rsidP="00211A61">
      <w:pPr>
        <w:numPr>
          <w:ilvl w:val="0"/>
          <w:numId w:val="4"/>
        </w:numPr>
        <w:pBdr>
          <w:top w:val="nil"/>
          <w:left w:val="nil"/>
          <w:bottom w:val="nil"/>
          <w:right w:val="nil"/>
          <w:between w:val="nil"/>
        </w:pBdr>
        <w:tabs>
          <w:tab w:val="left" w:pos="432"/>
          <w:tab w:val="left" w:pos="540"/>
          <w:tab w:val="left" w:pos="1369"/>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Issue shares to increase share capital from </w:t>
      </w:r>
      <w:r w:rsidR="00CD2E90" w:rsidRPr="006260F1">
        <w:rPr>
          <w:rFonts w:ascii="Arial" w:hAnsi="Arial" w:cs="Arial"/>
          <w:color w:val="010000"/>
          <w:sz w:val="20"/>
        </w:rPr>
        <w:t xml:space="preserve">the </w:t>
      </w:r>
      <w:r w:rsidR="00CD2E90" w:rsidRPr="006260F1">
        <w:rPr>
          <w:rFonts w:ascii="Arial" w:hAnsi="Arial" w:cs="Arial"/>
          <w:color w:val="010000"/>
          <w:sz w:val="20"/>
          <w:lang w:val="vi-VN"/>
        </w:rPr>
        <w:t xml:space="preserve">source of </w:t>
      </w:r>
      <w:r w:rsidRPr="006260F1">
        <w:rPr>
          <w:rFonts w:ascii="Arial" w:hAnsi="Arial" w:cs="Arial"/>
          <w:color w:val="010000"/>
          <w:sz w:val="20"/>
        </w:rPr>
        <w:t>owner’s equity;</w:t>
      </w:r>
    </w:p>
    <w:p w14:paraId="7A672D40" w14:textId="77777777" w:rsidR="00B55384" w:rsidRPr="006260F1" w:rsidRDefault="00665F00" w:rsidP="00211A61">
      <w:pPr>
        <w:numPr>
          <w:ilvl w:val="0"/>
          <w:numId w:val="4"/>
        </w:numPr>
        <w:pBdr>
          <w:top w:val="nil"/>
          <w:left w:val="nil"/>
          <w:bottom w:val="nil"/>
          <w:right w:val="nil"/>
          <w:between w:val="nil"/>
        </w:pBdr>
        <w:tabs>
          <w:tab w:val="left" w:pos="432"/>
          <w:tab w:val="left" w:pos="540"/>
          <w:tab w:val="left" w:pos="1410"/>
        </w:tabs>
        <w:spacing w:after="120" w:line="360" w:lineRule="auto"/>
        <w:jc w:val="both"/>
        <w:rPr>
          <w:rFonts w:ascii="Arial" w:eastAsia="Arial" w:hAnsi="Arial" w:cs="Arial"/>
          <w:color w:val="010000"/>
          <w:sz w:val="20"/>
          <w:szCs w:val="20"/>
        </w:rPr>
      </w:pPr>
      <w:r w:rsidRPr="006260F1">
        <w:rPr>
          <w:rFonts w:ascii="Arial" w:hAnsi="Arial" w:cs="Arial"/>
          <w:color w:val="010000"/>
          <w:sz w:val="20"/>
        </w:rPr>
        <w:t>Offer additional shares to the public to existing shareholders.</w:t>
      </w:r>
    </w:p>
    <w:p w14:paraId="633FF77E" w14:textId="77777777" w:rsidR="00B55384" w:rsidRPr="006260F1" w:rsidRDefault="00665F00" w:rsidP="00211A61">
      <w:pPr>
        <w:keepNext/>
        <w:numPr>
          <w:ilvl w:val="0"/>
          <w:numId w:val="3"/>
        </w:numPr>
        <w:pBdr>
          <w:top w:val="nil"/>
          <w:left w:val="nil"/>
          <w:bottom w:val="nil"/>
          <w:right w:val="nil"/>
          <w:between w:val="nil"/>
        </w:pBdr>
        <w:tabs>
          <w:tab w:val="left" w:pos="432"/>
          <w:tab w:val="left" w:pos="540"/>
          <w:tab w:val="left" w:pos="1390"/>
        </w:tabs>
        <w:spacing w:after="120" w:line="360" w:lineRule="auto"/>
        <w:jc w:val="both"/>
        <w:rPr>
          <w:rFonts w:ascii="Arial" w:eastAsia="Arial" w:hAnsi="Arial" w:cs="Arial"/>
          <w:color w:val="010000"/>
          <w:sz w:val="20"/>
          <w:szCs w:val="20"/>
        </w:rPr>
      </w:pPr>
      <w:r w:rsidRPr="006260F1">
        <w:rPr>
          <w:rFonts w:ascii="Arial" w:hAnsi="Arial" w:cs="Arial"/>
          <w:color w:val="010000"/>
          <w:sz w:val="20"/>
        </w:rPr>
        <w:t>Implementation content:</w:t>
      </w:r>
    </w:p>
    <w:p w14:paraId="280697BC"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Name of the Issuer: Saigon - Hanoi Securities JSC</w:t>
      </w:r>
    </w:p>
    <w:p w14:paraId="1FF7BD8C"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Name of issued share: Shares of Saigon - Hanoi Securities JSC</w:t>
      </w:r>
    </w:p>
    <w:p w14:paraId="7E2F6AD0"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Securities code: SHS</w:t>
      </w:r>
    </w:p>
    <w:p w14:paraId="7C21AE49" w14:textId="77777777" w:rsidR="00B55384" w:rsidRPr="006260F1" w:rsidRDefault="00665F00" w:rsidP="00211A61">
      <w:pPr>
        <w:pBdr>
          <w:top w:val="nil"/>
          <w:left w:val="nil"/>
          <w:bottom w:val="nil"/>
          <w:right w:val="nil"/>
          <w:between w:val="nil"/>
        </w:pBdr>
        <w:tabs>
          <w:tab w:val="left" w:pos="432"/>
          <w:tab w:val="left" w:pos="540"/>
          <w:tab w:val="left" w:pos="4082"/>
        </w:tabs>
        <w:spacing w:after="120" w:line="360" w:lineRule="auto"/>
        <w:jc w:val="both"/>
        <w:rPr>
          <w:rFonts w:ascii="Arial" w:eastAsia="Arial" w:hAnsi="Arial" w:cs="Arial"/>
          <w:color w:val="010000"/>
          <w:sz w:val="20"/>
          <w:szCs w:val="20"/>
        </w:rPr>
      </w:pPr>
      <w:r w:rsidRPr="006260F1">
        <w:rPr>
          <w:rFonts w:ascii="Arial" w:hAnsi="Arial" w:cs="Arial"/>
          <w:color w:val="010000"/>
          <w:sz w:val="20"/>
        </w:rPr>
        <w:t>Type of share:</w:t>
      </w:r>
      <w:r w:rsidR="00CD2E90" w:rsidRPr="006260F1">
        <w:rPr>
          <w:rFonts w:ascii="Arial" w:hAnsi="Arial" w:cs="Arial"/>
          <w:color w:val="010000"/>
          <w:sz w:val="20"/>
        </w:rPr>
        <w:t xml:space="preserve"> </w:t>
      </w:r>
      <w:r w:rsidRPr="006260F1">
        <w:rPr>
          <w:rFonts w:ascii="Arial" w:hAnsi="Arial" w:cs="Arial"/>
          <w:color w:val="010000"/>
          <w:sz w:val="20"/>
        </w:rPr>
        <w:t>common shares</w:t>
      </w:r>
    </w:p>
    <w:p w14:paraId="3328291F" w14:textId="77777777" w:rsidR="00B55384" w:rsidRPr="006260F1" w:rsidRDefault="00665F00" w:rsidP="00211A61">
      <w:pPr>
        <w:pBdr>
          <w:top w:val="nil"/>
          <w:left w:val="nil"/>
          <w:bottom w:val="nil"/>
          <w:right w:val="nil"/>
          <w:between w:val="nil"/>
        </w:pBdr>
        <w:tabs>
          <w:tab w:val="left" w:pos="432"/>
          <w:tab w:val="left" w:pos="540"/>
          <w:tab w:val="left" w:pos="4082"/>
        </w:tabs>
        <w:spacing w:after="120" w:line="360" w:lineRule="auto"/>
        <w:jc w:val="both"/>
        <w:rPr>
          <w:rFonts w:ascii="Arial" w:eastAsia="Arial" w:hAnsi="Arial" w:cs="Arial"/>
          <w:color w:val="010000"/>
          <w:sz w:val="20"/>
          <w:szCs w:val="20"/>
        </w:rPr>
      </w:pPr>
      <w:r w:rsidRPr="006260F1">
        <w:rPr>
          <w:rFonts w:ascii="Arial" w:hAnsi="Arial" w:cs="Arial"/>
          <w:color w:val="010000"/>
          <w:sz w:val="20"/>
        </w:rPr>
        <w:t>Par value:</w:t>
      </w:r>
      <w:r w:rsidR="00CD2E90" w:rsidRPr="006260F1">
        <w:rPr>
          <w:rFonts w:ascii="Arial" w:hAnsi="Arial" w:cs="Arial"/>
          <w:color w:val="010000"/>
          <w:sz w:val="20"/>
        </w:rPr>
        <w:t xml:space="preserve"> </w:t>
      </w:r>
      <w:r w:rsidRPr="006260F1">
        <w:rPr>
          <w:rFonts w:ascii="Arial" w:hAnsi="Arial" w:cs="Arial"/>
          <w:color w:val="010000"/>
          <w:sz w:val="20"/>
        </w:rPr>
        <w:t>VND10,000/share</w:t>
      </w:r>
    </w:p>
    <w:p w14:paraId="26BE54D1" w14:textId="77777777" w:rsidR="00B55384" w:rsidRPr="006260F1" w:rsidRDefault="00665F00" w:rsidP="00211A61">
      <w:pPr>
        <w:pBdr>
          <w:top w:val="nil"/>
          <w:left w:val="nil"/>
          <w:bottom w:val="nil"/>
          <w:right w:val="nil"/>
          <w:between w:val="nil"/>
        </w:pBdr>
        <w:tabs>
          <w:tab w:val="left" w:pos="432"/>
          <w:tab w:val="left" w:pos="540"/>
          <w:tab w:val="left" w:pos="4961"/>
        </w:tabs>
        <w:spacing w:after="120" w:line="360" w:lineRule="auto"/>
        <w:jc w:val="both"/>
        <w:rPr>
          <w:rFonts w:ascii="Arial" w:eastAsia="Arial" w:hAnsi="Arial" w:cs="Arial"/>
          <w:color w:val="010000"/>
          <w:sz w:val="20"/>
          <w:szCs w:val="20"/>
        </w:rPr>
      </w:pPr>
      <w:r w:rsidRPr="006260F1">
        <w:rPr>
          <w:rFonts w:ascii="Arial" w:hAnsi="Arial" w:cs="Arial"/>
          <w:color w:val="010000"/>
          <w:sz w:val="20"/>
        </w:rPr>
        <w:t>Charter capital before issuance:</w:t>
      </w:r>
      <w:r w:rsidR="00CD2E90" w:rsidRPr="006260F1">
        <w:rPr>
          <w:rFonts w:ascii="Arial" w:hAnsi="Arial" w:cs="Arial"/>
          <w:color w:val="010000"/>
          <w:sz w:val="20"/>
          <w:lang w:val="vi-VN"/>
        </w:rPr>
        <w:t xml:space="preserve"> </w:t>
      </w:r>
      <w:r w:rsidRPr="006260F1">
        <w:rPr>
          <w:rFonts w:ascii="Arial" w:hAnsi="Arial" w:cs="Arial"/>
          <w:color w:val="010000"/>
          <w:sz w:val="20"/>
        </w:rPr>
        <w:t>VND8,131,567,480,000</w:t>
      </w:r>
    </w:p>
    <w:p w14:paraId="6EC8A57F" w14:textId="77777777" w:rsidR="00B55384" w:rsidRPr="006260F1" w:rsidRDefault="00665F00" w:rsidP="00211A61">
      <w:pPr>
        <w:pBdr>
          <w:top w:val="nil"/>
          <w:left w:val="nil"/>
          <w:bottom w:val="nil"/>
          <w:right w:val="nil"/>
          <w:between w:val="nil"/>
        </w:pBdr>
        <w:tabs>
          <w:tab w:val="left" w:pos="432"/>
          <w:tab w:val="left" w:pos="540"/>
          <w:tab w:val="left" w:pos="4961"/>
        </w:tabs>
        <w:spacing w:after="120" w:line="360" w:lineRule="auto"/>
        <w:jc w:val="both"/>
        <w:rPr>
          <w:rFonts w:ascii="Arial" w:eastAsia="Arial" w:hAnsi="Arial" w:cs="Arial"/>
          <w:color w:val="010000"/>
          <w:sz w:val="20"/>
          <w:szCs w:val="20"/>
        </w:rPr>
      </w:pPr>
      <w:r w:rsidRPr="006260F1">
        <w:rPr>
          <w:rFonts w:ascii="Arial" w:hAnsi="Arial" w:cs="Arial"/>
          <w:color w:val="010000"/>
          <w:sz w:val="20"/>
        </w:rPr>
        <w:t>Number of outstanding shares:</w:t>
      </w:r>
      <w:r w:rsidR="00CD2E90" w:rsidRPr="006260F1">
        <w:rPr>
          <w:rFonts w:ascii="Arial" w:hAnsi="Arial" w:cs="Arial"/>
          <w:color w:val="010000"/>
          <w:sz w:val="20"/>
          <w:lang w:val="vi-VN"/>
        </w:rPr>
        <w:t xml:space="preserve"> </w:t>
      </w:r>
      <w:r w:rsidRPr="006260F1">
        <w:rPr>
          <w:rFonts w:ascii="Arial" w:hAnsi="Arial" w:cs="Arial"/>
          <w:color w:val="010000"/>
          <w:sz w:val="20"/>
        </w:rPr>
        <w:t>813,156,748 shares</w:t>
      </w:r>
    </w:p>
    <w:p w14:paraId="2281F598"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Number of shares expected to be issued: 894,472,424 shares</w:t>
      </w:r>
    </w:p>
    <w:p w14:paraId="6EB796D1"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In which:</w:t>
      </w:r>
    </w:p>
    <w:tbl>
      <w:tblPr>
        <w:tblStyle w:val="a"/>
        <w:tblW w:w="5000" w:type="pct"/>
        <w:tblBorders>
          <w:top w:val="single" w:sz="4" w:space="0" w:color="000000"/>
          <w:insideH w:val="single" w:sz="4" w:space="0" w:color="000000"/>
        </w:tblBorders>
        <w:tblLook w:val="0000" w:firstRow="0" w:lastRow="0" w:firstColumn="0" w:lastColumn="0" w:noHBand="0" w:noVBand="0"/>
      </w:tblPr>
      <w:tblGrid>
        <w:gridCol w:w="5898"/>
        <w:gridCol w:w="3128"/>
      </w:tblGrid>
      <w:tr w:rsidR="00B55384" w:rsidRPr="006260F1" w14:paraId="4E051F7A" w14:textId="77777777" w:rsidTr="00D078AE">
        <w:tc>
          <w:tcPr>
            <w:tcW w:w="3267" w:type="pct"/>
            <w:shd w:val="clear" w:color="auto" w:fill="auto"/>
            <w:tcMar>
              <w:top w:w="0" w:type="dxa"/>
              <w:bottom w:w="0" w:type="dxa"/>
            </w:tcMar>
            <w:vAlign w:val="center"/>
          </w:tcPr>
          <w:p w14:paraId="1421BE86"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Issue shares to pay dividends 2023:</w:t>
            </w:r>
          </w:p>
        </w:tc>
        <w:tc>
          <w:tcPr>
            <w:tcW w:w="1733" w:type="pct"/>
            <w:shd w:val="clear" w:color="auto" w:fill="auto"/>
            <w:tcMar>
              <w:top w:w="0" w:type="dxa"/>
              <w:bottom w:w="0" w:type="dxa"/>
            </w:tcMar>
            <w:vAlign w:val="center"/>
          </w:tcPr>
          <w:p w14:paraId="6D96D20D"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40,657,838 shares, issuance rate of 5%</w:t>
            </w:r>
          </w:p>
        </w:tc>
      </w:tr>
      <w:tr w:rsidR="00B55384" w:rsidRPr="006260F1" w14:paraId="13EC6794" w14:textId="77777777" w:rsidTr="00D078AE">
        <w:tc>
          <w:tcPr>
            <w:tcW w:w="3267" w:type="pct"/>
            <w:shd w:val="clear" w:color="auto" w:fill="auto"/>
            <w:tcMar>
              <w:top w:w="0" w:type="dxa"/>
              <w:bottom w:w="0" w:type="dxa"/>
            </w:tcMar>
            <w:vAlign w:val="center"/>
          </w:tcPr>
          <w:p w14:paraId="359574BF"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Issue shares to increase share capital from</w:t>
            </w:r>
            <w:r w:rsidR="00CD2E90" w:rsidRPr="006260F1">
              <w:rPr>
                <w:rFonts w:ascii="Arial" w:hAnsi="Arial" w:cs="Arial"/>
                <w:color w:val="010000"/>
                <w:sz w:val="20"/>
                <w:lang w:val="vi-VN"/>
              </w:rPr>
              <w:t xml:space="preserve"> the source of</w:t>
            </w:r>
            <w:r w:rsidRPr="006260F1">
              <w:rPr>
                <w:rFonts w:ascii="Arial" w:hAnsi="Arial" w:cs="Arial"/>
                <w:color w:val="010000"/>
                <w:sz w:val="20"/>
              </w:rPr>
              <w:t xml:space="preserve"> owners’ equity</w:t>
            </w:r>
          </w:p>
        </w:tc>
        <w:tc>
          <w:tcPr>
            <w:tcW w:w="1733" w:type="pct"/>
            <w:shd w:val="clear" w:color="auto" w:fill="auto"/>
            <w:tcMar>
              <w:top w:w="0" w:type="dxa"/>
              <w:bottom w:w="0" w:type="dxa"/>
            </w:tcMar>
            <w:vAlign w:val="center"/>
          </w:tcPr>
          <w:p w14:paraId="41AC8CAB"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40,657,838 shares,</w:t>
            </w:r>
          </w:p>
          <w:p w14:paraId="139D4854"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Issuance rate of 5%</w:t>
            </w:r>
          </w:p>
        </w:tc>
      </w:tr>
      <w:tr w:rsidR="00B55384" w:rsidRPr="006260F1" w14:paraId="04C45988" w14:textId="77777777" w:rsidTr="00D078AE">
        <w:tc>
          <w:tcPr>
            <w:tcW w:w="3267" w:type="pct"/>
            <w:shd w:val="clear" w:color="auto" w:fill="auto"/>
            <w:tcMar>
              <w:top w:w="0" w:type="dxa"/>
              <w:bottom w:w="0" w:type="dxa"/>
            </w:tcMar>
            <w:vAlign w:val="center"/>
          </w:tcPr>
          <w:p w14:paraId="6F4E60EB"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Offer additional shares to the public to existing shareholders:</w:t>
            </w:r>
          </w:p>
        </w:tc>
        <w:tc>
          <w:tcPr>
            <w:tcW w:w="1733" w:type="pct"/>
            <w:shd w:val="clear" w:color="auto" w:fill="auto"/>
            <w:tcMar>
              <w:top w:w="0" w:type="dxa"/>
              <w:bottom w:w="0" w:type="dxa"/>
            </w:tcMar>
            <w:vAlign w:val="center"/>
          </w:tcPr>
          <w:p w14:paraId="2CE91481"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813,156,748 shares, issuance rate of 100%</w:t>
            </w:r>
          </w:p>
        </w:tc>
      </w:tr>
    </w:tbl>
    <w:p w14:paraId="7BAB6083"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Expected implementation time: In 2024-2025 and/or after reporting/receiving approval from relevant State management agencies.</w:t>
      </w:r>
    </w:p>
    <w:p w14:paraId="78A284F0"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‎‎Article 2. Register additional securities, </w:t>
      </w:r>
      <w:r w:rsidR="00CD2E90" w:rsidRPr="006260F1">
        <w:rPr>
          <w:rFonts w:ascii="Arial" w:hAnsi="Arial" w:cs="Arial"/>
          <w:color w:val="010000"/>
          <w:sz w:val="20"/>
        </w:rPr>
        <w:t xml:space="preserve">and </w:t>
      </w:r>
      <w:r w:rsidRPr="006260F1">
        <w:rPr>
          <w:rFonts w:ascii="Arial" w:hAnsi="Arial" w:cs="Arial"/>
          <w:color w:val="010000"/>
          <w:sz w:val="20"/>
        </w:rPr>
        <w:t>list additional issued shares:</w:t>
      </w:r>
    </w:p>
    <w:p w14:paraId="0DD2D511"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The Board of Directors assigned/authorized the General Manager to implement procedures for additional securities registration and additional listing for the entire number of additional shares issued after completion of the share issuance to increase charter capital 2024 in accordance with the provisions </w:t>
      </w:r>
      <w:r w:rsidRPr="006260F1">
        <w:rPr>
          <w:rFonts w:ascii="Arial" w:hAnsi="Arial" w:cs="Arial"/>
          <w:color w:val="010000"/>
          <w:sz w:val="20"/>
        </w:rPr>
        <w:lastRenderedPageBreak/>
        <w:t>of law and the Company’s Charter.</w:t>
      </w:r>
    </w:p>
    <w:p w14:paraId="6C44939D"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The General Manager is responsible for implementing according to the General Mandate, the Resolution, </w:t>
      </w:r>
      <w:r w:rsidR="00CD2E90" w:rsidRPr="006260F1">
        <w:rPr>
          <w:rFonts w:ascii="Arial" w:hAnsi="Arial" w:cs="Arial"/>
          <w:color w:val="010000"/>
          <w:sz w:val="20"/>
        </w:rPr>
        <w:t xml:space="preserve">and </w:t>
      </w:r>
      <w:r w:rsidRPr="006260F1">
        <w:rPr>
          <w:rFonts w:ascii="Arial" w:hAnsi="Arial" w:cs="Arial"/>
          <w:color w:val="010000"/>
          <w:sz w:val="20"/>
        </w:rPr>
        <w:t xml:space="preserve">the Decision of the Board of Directors, and </w:t>
      </w:r>
      <w:r w:rsidR="00CD2E90" w:rsidRPr="006260F1">
        <w:rPr>
          <w:rFonts w:ascii="Arial" w:hAnsi="Arial" w:cs="Arial"/>
          <w:color w:val="010000"/>
          <w:sz w:val="20"/>
        </w:rPr>
        <w:t>reports</w:t>
      </w:r>
      <w:r w:rsidRPr="006260F1">
        <w:rPr>
          <w:rFonts w:ascii="Arial" w:hAnsi="Arial" w:cs="Arial"/>
          <w:color w:val="010000"/>
          <w:sz w:val="20"/>
        </w:rPr>
        <w:t xml:space="preserve"> to the Board of Directors when completing the procedures mentioned above.</w:t>
      </w:r>
    </w:p>
    <w:p w14:paraId="1DDFCED8"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‎‎Article 3. Approve the Plan </w:t>
      </w:r>
      <w:r w:rsidR="000B71A8" w:rsidRPr="006260F1">
        <w:rPr>
          <w:rFonts w:ascii="Arial" w:hAnsi="Arial" w:cs="Arial"/>
          <w:color w:val="010000"/>
          <w:sz w:val="20"/>
        </w:rPr>
        <w:t>to ensure</w:t>
      </w:r>
      <w:r w:rsidRPr="006260F1">
        <w:rPr>
          <w:rFonts w:ascii="Arial" w:hAnsi="Arial" w:cs="Arial"/>
          <w:color w:val="010000"/>
          <w:sz w:val="20"/>
        </w:rPr>
        <w:t xml:space="preserve"> the share issuance meets the regulations on foreign ownership rate in the public offering to existing shareholders:</w:t>
      </w:r>
    </w:p>
    <w:p w14:paraId="2E0F0205" w14:textId="77777777" w:rsidR="00B55384" w:rsidRPr="006260F1" w:rsidRDefault="00665F00" w:rsidP="00211A61">
      <w:pPr>
        <w:numPr>
          <w:ilvl w:val="0"/>
          <w:numId w:val="1"/>
        </w:numPr>
        <w:pBdr>
          <w:top w:val="nil"/>
          <w:left w:val="nil"/>
          <w:bottom w:val="nil"/>
          <w:right w:val="nil"/>
          <w:between w:val="nil"/>
        </w:pBdr>
        <w:tabs>
          <w:tab w:val="left" w:pos="432"/>
          <w:tab w:val="left" w:pos="540"/>
          <w:tab w:val="left" w:pos="1383"/>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According to Document </w:t>
      </w:r>
      <w:r w:rsidR="008C2539" w:rsidRPr="006260F1">
        <w:rPr>
          <w:rFonts w:ascii="Arial" w:hAnsi="Arial" w:cs="Arial"/>
          <w:color w:val="010000"/>
          <w:sz w:val="20"/>
        </w:rPr>
        <w:t xml:space="preserve">No. </w:t>
      </w:r>
      <w:r w:rsidRPr="006260F1">
        <w:rPr>
          <w:rFonts w:ascii="Arial" w:hAnsi="Arial" w:cs="Arial"/>
          <w:color w:val="010000"/>
          <w:sz w:val="20"/>
        </w:rPr>
        <w:t>1349/UBCK-QLKD dated March 18, 2022 of the State Securities Commission on dossiers notifying the maximum foreign ownership rate, the maximum foreign ownership rate at the Company is 49% of the charter capital of the Company.</w:t>
      </w:r>
    </w:p>
    <w:p w14:paraId="10CD5395" w14:textId="77777777" w:rsidR="00B55384" w:rsidRPr="006260F1" w:rsidRDefault="00665F00" w:rsidP="00211A61">
      <w:pPr>
        <w:numPr>
          <w:ilvl w:val="0"/>
          <w:numId w:val="1"/>
        </w:numPr>
        <w:pBdr>
          <w:top w:val="nil"/>
          <w:left w:val="nil"/>
          <w:bottom w:val="nil"/>
          <w:right w:val="nil"/>
          <w:between w:val="nil"/>
        </w:pBdr>
        <w:tabs>
          <w:tab w:val="left" w:pos="432"/>
          <w:tab w:val="left" w:pos="540"/>
          <w:tab w:val="left" w:pos="1383"/>
        </w:tabs>
        <w:spacing w:after="120" w:line="360" w:lineRule="auto"/>
        <w:jc w:val="both"/>
        <w:rPr>
          <w:rFonts w:ascii="Arial" w:eastAsia="Arial" w:hAnsi="Arial" w:cs="Arial"/>
          <w:color w:val="010000"/>
          <w:sz w:val="20"/>
          <w:szCs w:val="20"/>
        </w:rPr>
      </w:pPr>
      <w:r w:rsidRPr="006260F1">
        <w:rPr>
          <w:rFonts w:ascii="Arial" w:hAnsi="Arial" w:cs="Arial"/>
          <w:color w:val="010000"/>
          <w:sz w:val="20"/>
        </w:rPr>
        <w:t>Plan on ensuring the Ownership rate of foreign investors in the offering is as follows:</w:t>
      </w:r>
    </w:p>
    <w:p w14:paraId="300C45D5" w14:textId="77777777" w:rsidR="00B55384" w:rsidRPr="006260F1" w:rsidRDefault="00665F00" w:rsidP="00211A61">
      <w:pPr>
        <w:numPr>
          <w:ilvl w:val="0"/>
          <w:numId w:val="2"/>
        </w:numPr>
        <w:pBdr>
          <w:top w:val="nil"/>
          <w:left w:val="nil"/>
          <w:bottom w:val="nil"/>
          <w:right w:val="nil"/>
          <w:between w:val="nil"/>
        </w:pBdr>
        <w:tabs>
          <w:tab w:val="left" w:pos="432"/>
          <w:tab w:val="left" w:pos="540"/>
          <w:tab w:val="left" w:pos="1698"/>
        </w:tabs>
        <w:spacing w:after="120" w:line="360" w:lineRule="auto"/>
        <w:jc w:val="both"/>
        <w:rPr>
          <w:rFonts w:ascii="Arial" w:eastAsia="Arial" w:hAnsi="Arial" w:cs="Arial"/>
          <w:color w:val="010000"/>
          <w:sz w:val="20"/>
          <w:szCs w:val="20"/>
        </w:rPr>
      </w:pPr>
      <w:r w:rsidRPr="006260F1">
        <w:rPr>
          <w:rFonts w:ascii="Arial" w:hAnsi="Arial" w:cs="Arial"/>
          <w:color w:val="010000"/>
          <w:sz w:val="20"/>
        </w:rPr>
        <w:t>During the time of exercising rights to buy offered shares and distributing shares to existing shareholders, the Company ensures compliance with regulations on the maximum foreign ownership rate according to the provisions of law.</w:t>
      </w:r>
    </w:p>
    <w:p w14:paraId="61DFD9E3" w14:textId="77777777" w:rsidR="00B55384" w:rsidRPr="006260F1" w:rsidRDefault="00665F00" w:rsidP="00211A61">
      <w:pPr>
        <w:numPr>
          <w:ilvl w:val="0"/>
          <w:numId w:val="2"/>
        </w:numPr>
        <w:pBdr>
          <w:top w:val="nil"/>
          <w:left w:val="nil"/>
          <w:bottom w:val="nil"/>
          <w:right w:val="nil"/>
          <w:between w:val="nil"/>
        </w:pBdr>
        <w:tabs>
          <w:tab w:val="left" w:pos="432"/>
          <w:tab w:val="left" w:pos="540"/>
          <w:tab w:val="left" w:pos="1698"/>
        </w:tabs>
        <w:spacing w:after="120" w:line="360" w:lineRule="auto"/>
        <w:jc w:val="both"/>
        <w:rPr>
          <w:rFonts w:ascii="Arial" w:eastAsia="Arial" w:hAnsi="Arial" w:cs="Arial"/>
          <w:color w:val="010000"/>
          <w:sz w:val="20"/>
          <w:szCs w:val="20"/>
        </w:rPr>
      </w:pPr>
      <w:r w:rsidRPr="006260F1">
        <w:rPr>
          <w:rFonts w:ascii="Arial" w:hAnsi="Arial" w:cs="Arial"/>
          <w:color w:val="010000"/>
          <w:sz w:val="20"/>
        </w:rPr>
        <w:t xml:space="preserve">When distributing remaining shares to other subjects, the Board of Directors of Saigon - Hanoi Securities JSC coordinates with Vietnam Securities Depository and Clearing Corporation </w:t>
      </w:r>
      <w:r w:rsidR="000B71A8" w:rsidRPr="006260F1">
        <w:rPr>
          <w:rFonts w:ascii="Arial" w:hAnsi="Arial" w:cs="Arial"/>
          <w:color w:val="010000"/>
          <w:sz w:val="20"/>
        </w:rPr>
        <w:t>to ensure</w:t>
      </w:r>
      <w:r w:rsidRPr="006260F1">
        <w:rPr>
          <w:rFonts w:ascii="Arial" w:hAnsi="Arial" w:cs="Arial"/>
          <w:color w:val="010000"/>
          <w:sz w:val="20"/>
        </w:rPr>
        <w:t xml:space="preserve"> the foreign ownership rate of the Company complies with the regulations in Clause 1, Clause 2, Article </w:t>
      </w:r>
      <w:r w:rsidR="00CD2E90" w:rsidRPr="006260F1">
        <w:rPr>
          <w:rFonts w:ascii="Arial" w:hAnsi="Arial" w:cs="Arial"/>
          <w:color w:val="010000"/>
          <w:sz w:val="20"/>
          <w:lang w:val="vi-VN"/>
        </w:rPr>
        <w:t>51</w:t>
      </w:r>
      <w:r w:rsidRPr="006260F1">
        <w:rPr>
          <w:rFonts w:ascii="Arial" w:hAnsi="Arial" w:cs="Arial"/>
          <w:color w:val="010000"/>
          <w:sz w:val="20"/>
        </w:rPr>
        <w:t xml:space="preserve"> of the Law on Securities and Clause 5, Article 139 in Decree </w:t>
      </w:r>
      <w:r w:rsidR="008C2539" w:rsidRPr="006260F1">
        <w:rPr>
          <w:rFonts w:ascii="Arial" w:hAnsi="Arial" w:cs="Arial"/>
          <w:color w:val="010000"/>
          <w:sz w:val="20"/>
        </w:rPr>
        <w:t xml:space="preserve">No. </w:t>
      </w:r>
      <w:r w:rsidRPr="006260F1">
        <w:rPr>
          <w:rFonts w:ascii="Arial" w:hAnsi="Arial" w:cs="Arial"/>
          <w:color w:val="010000"/>
          <w:sz w:val="20"/>
        </w:rPr>
        <w:t xml:space="preserve">155/2020/ND-CP dated December 31, 2020 and Document </w:t>
      </w:r>
      <w:r w:rsidR="008C2539" w:rsidRPr="006260F1">
        <w:rPr>
          <w:rFonts w:ascii="Arial" w:hAnsi="Arial" w:cs="Arial"/>
          <w:color w:val="010000"/>
          <w:sz w:val="20"/>
        </w:rPr>
        <w:t xml:space="preserve">No. </w:t>
      </w:r>
      <w:r w:rsidRPr="006260F1">
        <w:rPr>
          <w:rFonts w:ascii="Arial" w:hAnsi="Arial" w:cs="Arial"/>
          <w:color w:val="010000"/>
          <w:sz w:val="20"/>
        </w:rPr>
        <w:t>1349/UBCK-QLKD dated March 18, 2022 of the State Securities Commission.</w:t>
      </w:r>
    </w:p>
    <w:p w14:paraId="63B6CDAD"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‎‎Article 4. The Board of Directors assigned and authorized the General Manager of Saigon - Hanoi Securities JSC to be responsible for implementing contents approved by the Board of Directors in the Articles above ensuring compliance with the law, the General Mandate, the Company’s Charter, implementing adjustments, supplementing appropriate contents and dossiers (if any), signing, and promulgating relevant documents, and report to the Board of Directors on the implementation.</w:t>
      </w:r>
    </w:p>
    <w:p w14:paraId="76FD5B7B"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‎‎Article 5. This Decision takes effect from the date of its signing.</w:t>
      </w:r>
    </w:p>
    <w:p w14:paraId="70AB84A0" w14:textId="77777777" w:rsidR="00B55384" w:rsidRPr="006260F1" w:rsidRDefault="00665F00" w:rsidP="00211A61">
      <w:p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6260F1">
        <w:rPr>
          <w:rFonts w:ascii="Arial" w:hAnsi="Arial" w:cs="Arial"/>
          <w:color w:val="010000"/>
          <w:sz w:val="20"/>
        </w:rPr>
        <w:t>The Board of Directors, the General Manager, and relevant departments under Saigon - Hanoi Securities JSC are responsible for implementing this Decision.</w:t>
      </w:r>
    </w:p>
    <w:sectPr w:rsidR="00B55384" w:rsidRPr="006260F1" w:rsidSect="00D078A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6947"/>
    <w:multiLevelType w:val="multilevel"/>
    <w:tmpl w:val="426E07C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763DCC"/>
    <w:multiLevelType w:val="multilevel"/>
    <w:tmpl w:val="3426F3D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A540C63"/>
    <w:multiLevelType w:val="multilevel"/>
    <w:tmpl w:val="C6E8264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DD222AD"/>
    <w:multiLevelType w:val="multilevel"/>
    <w:tmpl w:val="EA1E202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84"/>
    <w:rsid w:val="000B71A8"/>
    <w:rsid w:val="00211A61"/>
    <w:rsid w:val="004E6EB1"/>
    <w:rsid w:val="006260F1"/>
    <w:rsid w:val="00665F00"/>
    <w:rsid w:val="008C2539"/>
    <w:rsid w:val="00B55384"/>
    <w:rsid w:val="00B65F78"/>
    <w:rsid w:val="00CD2E90"/>
    <w:rsid w:val="00D0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C1537"/>
  <w15:docId w15:val="{BD9DE96B-9558-451C-B2DC-1B157F3C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Bodytext20">
    <w:name w:val="Body text (2)"/>
    <w:basedOn w:val="Normal"/>
    <w:link w:val="Bodytext2"/>
    <w:pPr>
      <w:ind w:firstLine="960"/>
    </w:pPr>
    <w:rPr>
      <w:rFonts w:ascii="Times New Roman" w:eastAsia="Times New Roman" w:hAnsi="Times New Roman" w:cs="Times New Roman"/>
      <w:i/>
      <w:iCs/>
      <w:sz w:val="19"/>
      <w:szCs w:val="19"/>
    </w:rPr>
  </w:style>
  <w:style w:type="paragraph" w:customStyle="1" w:styleId="Heading31">
    <w:name w:val="Heading #3"/>
    <w:basedOn w:val="Normal"/>
    <w:link w:val="Heading30"/>
    <w:pPr>
      <w:spacing w:line="298" w:lineRule="auto"/>
      <w:ind w:left="370" w:firstLine="50"/>
      <w:outlineLvl w:val="2"/>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u w:val="single"/>
    </w:rPr>
  </w:style>
  <w:style w:type="paragraph" w:customStyle="1" w:styleId="Other0">
    <w:name w:val="Other"/>
    <w:basedOn w:val="Normal"/>
    <w:link w:val="Other"/>
    <w:pPr>
      <w:spacing w:line="298" w:lineRule="auto"/>
    </w:pPr>
    <w:rPr>
      <w:rFonts w:ascii="Times New Roman" w:eastAsia="Times New Roman" w:hAnsi="Times New Roman" w:cs="Times New Roman"/>
    </w:rPr>
  </w:style>
  <w:style w:type="paragraph" w:styleId="NormalWeb">
    <w:name w:val="Normal (Web)"/>
    <w:basedOn w:val="Normal"/>
    <w:uiPriority w:val="99"/>
    <w:unhideWhenUsed/>
    <w:rsid w:val="00BE21C8"/>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VkGgzaKMl+iICIFGbQLjP6vqQ==">CgMxLjA4AHIhMUJyNHlIcDFqVUNZYktHUjk5dk0zeV95bDJ4cmtyc1M4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2024-06-25T03:20:00Z</dcterms:created>
  <dcterms:modified xsi:type="dcterms:W3CDTF">2024-06-26T03:56:00Z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e0181d2ec6b54f949d91cde8a6af6cb8ee76a64bae6575f929be65ca92d6b0f6</vt:lpwstr>
  </property>
</Properties>
</file>