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170D" w14:textId="77777777" w:rsidR="00FA257F" w:rsidRPr="008E4810" w:rsidRDefault="00A802B3" w:rsidP="00C75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E4810">
        <w:rPr>
          <w:rFonts w:ascii="Arial" w:hAnsi="Arial" w:cs="Arial"/>
          <w:b/>
          <w:color w:val="010000"/>
          <w:sz w:val="20"/>
        </w:rPr>
        <w:t>TAN: Annual General Mandate 2024</w:t>
      </w:r>
    </w:p>
    <w:p w14:paraId="04500A45" w14:textId="77777777" w:rsidR="00FA257F" w:rsidRPr="008E4810" w:rsidRDefault="00A802B3" w:rsidP="00C75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810">
        <w:rPr>
          <w:rFonts w:ascii="Arial" w:hAnsi="Arial" w:cs="Arial"/>
          <w:color w:val="010000"/>
          <w:sz w:val="20"/>
        </w:rPr>
        <w:t xml:space="preserve">On June 14, 2024, Thuan An Coffee Joint Stock Company announced General Mandate </w:t>
      </w:r>
      <w:r w:rsidR="00407017" w:rsidRPr="008E4810">
        <w:rPr>
          <w:rFonts w:ascii="Arial" w:hAnsi="Arial" w:cs="Arial"/>
          <w:color w:val="010000"/>
          <w:sz w:val="20"/>
        </w:rPr>
        <w:t xml:space="preserve">No. </w:t>
      </w:r>
      <w:r w:rsidRPr="008E4810">
        <w:rPr>
          <w:rFonts w:ascii="Arial" w:hAnsi="Arial" w:cs="Arial"/>
          <w:color w:val="010000"/>
          <w:sz w:val="20"/>
        </w:rPr>
        <w:t>01/NQ-DHDCD-TAN as follows:</w:t>
      </w:r>
    </w:p>
    <w:p w14:paraId="0DA6A38E" w14:textId="77777777" w:rsidR="00FA257F" w:rsidRPr="008E4810" w:rsidRDefault="00A802B3" w:rsidP="00C75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810">
        <w:rPr>
          <w:rFonts w:ascii="Arial" w:hAnsi="Arial" w:cs="Arial"/>
          <w:color w:val="010000"/>
          <w:sz w:val="20"/>
        </w:rPr>
        <w:t xml:space="preserve">Article 1: Approve the report on production and business activities in 2023 and the plan </w:t>
      </w:r>
      <w:r w:rsidR="0050204A" w:rsidRPr="008E4810">
        <w:rPr>
          <w:rFonts w:ascii="Arial" w:hAnsi="Arial" w:cs="Arial"/>
          <w:color w:val="010000"/>
          <w:sz w:val="20"/>
        </w:rPr>
        <w:t xml:space="preserve">for </w:t>
      </w:r>
      <w:r w:rsidRPr="008E4810">
        <w:rPr>
          <w:rFonts w:ascii="Arial" w:hAnsi="Arial" w:cs="Arial"/>
          <w:color w:val="010000"/>
          <w:sz w:val="20"/>
        </w:rPr>
        <w:t>production and business activities in 2024</w:t>
      </w:r>
      <w:r w:rsidR="00403088" w:rsidRPr="008E4810">
        <w:rPr>
          <w:rFonts w:ascii="Arial" w:hAnsi="Arial" w:cs="Arial"/>
          <w:color w:val="010000"/>
          <w:sz w:val="20"/>
        </w:rPr>
        <w:t xml:space="preserve"> </w:t>
      </w:r>
    </w:p>
    <w:p w14:paraId="4CDD31B0" w14:textId="77777777" w:rsidR="00FA257F" w:rsidRPr="008E4810" w:rsidRDefault="00A802B3" w:rsidP="00C75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810">
        <w:rPr>
          <w:rFonts w:ascii="Arial" w:hAnsi="Arial" w:cs="Arial"/>
          <w:color w:val="010000"/>
          <w:sz w:val="20"/>
        </w:rPr>
        <w:t xml:space="preserve"> Result 2023: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818"/>
        <w:gridCol w:w="4666"/>
        <w:gridCol w:w="1487"/>
        <w:gridCol w:w="1197"/>
        <w:gridCol w:w="1314"/>
        <w:gridCol w:w="1672"/>
        <w:gridCol w:w="1412"/>
        <w:gridCol w:w="1412"/>
      </w:tblGrid>
      <w:tr w:rsidR="00FA257F" w:rsidRPr="008E4810" w14:paraId="695B5404" w14:textId="77777777" w:rsidTr="00A82E0C"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80221" w14:textId="77777777" w:rsidR="00FA257F" w:rsidRPr="008E4810" w:rsidRDefault="00407017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66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699F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4E24E7" w14:textId="378E6AFB" w:rsidR="00FA257F" w:rsidRPr="008E4810" w:rsidRDefault="00A802B3" w:rsidP="00ED5B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A68EC" w14:textId="5D4EEAB1" w:rsidR="00FA257F" w:rsidRPr="008E4810" w:rsidRDefault="00A802B3" w:rsidP="00ED5B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="00ED5B57" w:rsidRPr="008E4810">
              <w:rPr>
                <w:rFonts w:ascii="Arial" w:hAnsi="Arial" w:cs="Arial"/>
                <w:color w:val="010000"/>
                <w:sz w:val="20"/>
              </w:rPr>
              <w:t>2</w:t>
            </w:r>
            <w:r w:rsidRPr="008E4810">
              <w:rPr>
                <w:rFonts w:ascii="Arial" w:hAnsi="Arial" w:cs="Arial"/>
                <w:color w:val="010000"/>
                <w:sz w:val="20"/>
              </w:rPr>
              <w:t>023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7CCF1" w14:textId="6DAB017D" w:rsidR="00FA257F" w:rsidRPr="008E4810" w:rsidRDefault="00A802B3" w:rsidP="00ED5B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E0B77" w14:textId="77777777" w:rsidR="00FA257F" w:rsidRPr="008E4810" w:rsidRDefault="0050204A" w:rsidP="00ED5B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C</w:t>
            </w:r>
            <w:r w:rsidR="00A802B3" w:rsidRPr="008E4810">
              <w:rPr>
                <w:rFonts w:ascii="Arial" w:hAnsi="Arial" w:cs="Arial"/>
                <w:color w:val="010000"/>
                <w:sz w:val="20"/>
              </w:rPr>
              <w:t>ompletion of the business plan in 2023</w:t>
            </w:r>
            <w:r w:rsidRPr="008E4810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7A47C" w14:textId="417A3E4E" w:rsidR="00FA257F" w:rsidRPr="008E4810" w:rsidRDefault="00A802B3" w:rsidP="00ED5B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Increase or decrease compared to</w:t>
            </w:r>
            <w:r w:rsidR="00ED5B57" w:rsidRPr="008E481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="0050204A" w:rsidRPr="008E4810">
              <w:rPr>
                <w:rFonts w:ascii="Arial" w:hAnsi="Arial" w:cs="Arial"/>
                <w:color w:val="010000"/>
                <w:sz w:val="20"/>
              </w:rPr>
              <w:t xml:space="preserve">previous </w:t>
            </w:r>
            <w:r w:rsidRPr="008E4810">
              <w:rPr>
                <w:rFonts w:ascii="Arial" w:hAnsi="Arial" w:cs="Arial"/>
                <w:color w:val="010000"/>
                <w:sz w:val="20"/>
              </w:rPr>
              <w:t>year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AE00A3" w14:textId="77777777" w:rsidR="00FA257F" w:rsidRPr="008E4810" w:rsidRDefault="0050204A" w:rsidP="00ED5B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</w:t>
            </w:r>
            <w:r w:rsidR="00A802B3" w:rsidRPr="008E4810">
              <w:rPr>
                <w:rFonts w:ascii="Arial" w:hAnsi="Arial" w:cs="Arial"/>
                <w:color w:val="010000"/>
                <w:sz w:val="20"/>
              </w:rPr>
              <w:t>ncrease or decrease compared to the previous year</w:t>
            </w:r>
            <w:r w:rsidRPr="008E4810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FA257F" w:rsidRPr="008E4810" w14:paraId="79AD0510" w14:textId="77777777" w:rsidTr="00A82E0C"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2FF62" w14:textId="77777777" w:rsidR="00FA257F" w:rsidRPr="008E4810" w:rsidRDefault="00FA257F" w:rsidP="00A8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FC3BF3" w14:textId="77777777" w:rsidR="00FA257F" w:rsidRPr="008E4810" w:rsidRDefault="00FA257F" w:rsidP="00A8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4C21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73DB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70F9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CD3B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3DDF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8151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</w:tr>
      <w:tr w:rsidR="00FA257F" w:rsidRPr="008E4810" w14:paraId="1EB5FD4C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A8397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B241D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5597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14,868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6A53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18,355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4E020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20,114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0C3D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91.26%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55441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3,487</w:t>
            </w:r>
          </w:p>
        </w:tc>
        <w:tc>
          <w:tcPr>
            <w:tcW w:w="5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27A2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23.45%</w:t>
            </w:r>
          </w:p>
        </w:tc>
      </w:tr>
      <w:tr w:rsidR="00FA257F" w:rsidRPr="008E4810" w14:paraId="4C01BB37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C30422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8256A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Revenue from sales of goods and provision of services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44323F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14,671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856F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17,872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3DA89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20,114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94E5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88.85%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BE72B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3,201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447322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45C2ECF5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7FAFA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44C66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Revenue from financial activities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3970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5EDA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B71FD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0F1F1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EE8E4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-18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530EF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25014BF2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94C51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C1AD0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Other incomes: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8753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172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564A66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475.86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10F76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AE4A2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1C84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304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C742A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643CEF30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B50D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91E59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- Total expense: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E18C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14,525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4A032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16,923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66EBA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18,248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BE16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92.74%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3F86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2,398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4E41B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16.51%</w:t>
            </w:r>
          </w:p>
        </w:tc>
      </w:tr>
      <w:tr w:rsidR="00FA257F" w:rsidRPr="008E4810" w14:paraId="3D35BE37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0E420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C516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Costs of goods sold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AC11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10,127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0E7AE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12,317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CD65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11,006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6AD54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111.91%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34496F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2/190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1D99A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28090FD2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F1294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8A65D" w14:textId="77777777" w:rsidR="00FA257F" w:rsidRPr="008E4810" w:rsidRDefault="0050204A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 xml:space="preserve">+ </w:t>
            </w:r>
            <w:r w:rsidR="00A802B3" w:rsidRPr="008E4810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E2F528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861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3E24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CF3C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19473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8FA96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21B2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7B0484E2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B0C4E6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EB50C" w14:textId="77777777" w:rsidR="00FA257F" w:rsidRPr="008E4810" w:rsidRDefault="0050204A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 xml:space="preserve">+ </w:t>
            </w:r>
            <w:r w:rsidR="00A802B3" w:rsidRPr="008E4810">
              <w:rPr>
                <w:rFonts w:ascii="Arial" w:hAnsi="Arial" w:cs="Arial"/>
                <w:color w:val="010000"/>
                <w:sz w:val="20"/>
              </w:rPr>
              <w:t>Business management expenses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4733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3,336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3CC8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3,858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9696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4,371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E3809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88.27%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8AF5F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522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CC454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54BD1F4F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ABF0B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300D6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Selling expenses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EB408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D76A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4E36D8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AC333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F675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6CA9D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66E9D916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6F0FD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80B3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Other expenses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295F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192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F2666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662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10DD0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BE0F2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16B79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470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4C657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71E52BB8" w14:textId="77777777" w:rsidTr="00A82E0C">
        <w:tc>
          <w:tcPr>
            <w:tcW w:w="2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3A06E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 xml:space="preserve">III 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75A3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Accounting profit before tax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D578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1,233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D2FA6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1,432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D3BFF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1,866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3AC2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76.75%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FF6FF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781C5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16.15%</w:t>
            </w:r>
          </w:p>
        </w:tc>
      </w:tr>
      <w:tr w:rsidR="00FA257F" w:rsidRPr="008E4810" w14:paraId="42E90368" w14:textId="77777777" w:rsidTr="00ED5B5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B2F6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E72C8F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A53A33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B67E9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42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3F679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B344AB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E1D41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504E0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6A88AED4" w14:textId="77777777" w:rsidTr="00ED5B57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48B4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CF8B69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Profit after corporate income tax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2447F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1,233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E88FB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1,390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F1F6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1,866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5634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74.48%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7F5E7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157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888E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12.72%</w:t>
            </w:r>
          </w:p>
        </w:tc>
      </w:tr>
    </w:tbl>
    <w:p w14:paraId="18A7DB9A" w14:textId="77777777" w:rsidR="00FA257F" w:rsidRPr="008E4810" w:rsidRDefault="00A802B3" w:rsidP="00A82E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E4810">
        <w:rPr>
          <w:rFonts w:ascii="Arial" w:hAnsi="Arial" w:cs="Arial"/>
          <w:color w:val="010000"/>
          <w:sz w:val="20"/>
        </w:rPr>
        <w:t>Plan 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1"/>
        <w:gridCol w:w="5108"/>
        <w:gridCol w:w="1887"/>
        <w:gridCol w:w="1800"/>
        <w:gridCol w:w="1772"/>
        <w:gridCol w:w="2580"/>
      </w:tblGrid>
      <w:tr w:rsidR="00FA257F" w:rsidRPr="008E4810" w14:paraId="18542B06" w14:textId="77777777" w:rsidTr="00A82E0C">
        <w:tc>
          <w:tcPr>
            <w:tcW w:w="29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05B96" w14:textId="77777777" w:rsidR="00FA257F" w:rsidRPr="008E4810" w:rsidRDefault="00407017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82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E695F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14AE3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Results</w:t>
            </w:r>
            <w:r w:rsidR="0050204A" w:rsidRPr="008E4810">
              <w:rPr>
                <w:rFonts w:ascii="Arial" w:hAnsi="Arial" w:cs="Arial"/>
                <w:color w:val="010000"/>
                <w:sz w:val="20"/>
              </w:rPr>
              <w:t xml:space="preserve"> 2023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6BC9A6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23A718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Increase or decrease compared to the previous year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E09A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Increase/decrease compared to the previous year</w:t>
            </w:r>
            <w:r w:rsidR="0050204A" w:rsidRPr="008E4810">
              <w:rPr>
                <w:rFonts w:ascii="Arial" w:hAnsi="Arial" w:cs="Arial"/>
                <w:color w:val="010000"/>
                <w:sz w:val="20"/>
              </w:rPr>
              <w:t xml:space="preserve"> (%)</w:t>
            </w:r>
          </w:p>
        </w:tc>
      </w:tr>
      <w:tr w:rsidR="00FA257F" w:rsidRPr="008E4810" w14:paraId="0E0DEBE0" w14:textId="77777777" w:rsidTr="00A82E0C">
        <w:tc>
          <w:tcPr>
            <w:tcW w:w="29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034E3B" w14:textId="77777777" w:rsidR="00FA257F" w:rsidRPr="008E4810" w:rsidRDefault="00FA257F" w:rsidP="00A8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D3175" w14:textId="77777777" w:rsidR="00FA257F" w:rsidRPr="008E4810" w:rsidRDefault="00FA257F" w:rsidP="00A8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F317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8910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045E8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6AE0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</w:tr>
      <w:tr w:rsidR="00FA257F" w:rsidRPr="008E4810" w14:paraId="144DA63D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1EBAD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F32C2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2217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18,355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FAED1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21,068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671B7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2,713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5363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14.78%</w:t>
            </w:r>
          </w:p>
        </w:tc>
      </w:tr>
      <w:tr w:rsidR="00FA257F" w:rsidRPr="008E4810" w14:paraId="5EC067A8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F25DD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C4F8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Revenue from sales of goods and provision of services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2AE8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17,872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E576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21,068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EB9C5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3,196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905C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17.88%</w:t>
            </w:r>
          </w:p>
        </w:tc>
      </w:tr>
      <w:tr w:rsidR="00FA257F" w:rsidRPr="008E4810" w14:paraId="77EB3081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57E3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89458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Revenue from financial activities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BFD7EC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CB5E69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1CEA5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14403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38F26451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B0CA2A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8662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Other income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2D4A8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476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5149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948DDF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137EC0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54EDF04D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F45B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II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2C34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- Total expense: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ADC1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16,923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AB2C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18,690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9544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1,766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24B4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10.44%</w:t>
            </w:r>
          </w:p>
        </w:tc>
      </w:tr>
      <w:tr w:rsidR="00FA257F" w:rsidRPr="008E4810" w14:paraId="1E56356F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8A532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6463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Cost of goods sold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D121D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12,317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B4DC7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13,951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B3B90F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F78B2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134806D4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CA4F6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14FB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Financial expense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3B7A3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51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D6BCD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D51B2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3D24F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1A33181E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ABC98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61FB4B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Business management expenses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F2518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3,858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F57E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4,400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B1B6B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7B90F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57091012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30FC0F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29807" w14:textId="77777777" w:rsidR="00FA257F" w:rsidRPr="008E4810" w:rsidRDefault="0050204A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 xml:space="preserve">+ </w:t>
            </w:r>
            <w:r w:rsidR="00A802B3" w:rsidRPr="008E4810">
              <w:rPr>
                <w:rFonts w:ascii="Arial" w:hAnsi="Arial" w:cs="Arial"/>
                <w:color w:val="010000"/>
                <w:sz w:val="20"/>
              </w:rPr>
              <w:t>Selling expenses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F107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35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6BF54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D6D228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491DC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450288A8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A7136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5E2F5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+ Other expenses/Interest expenses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0AFA3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662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EE9DE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339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EA179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B55ECC" w14:textId="77777777" w:rsidR="00FA257F" w:rsidRPr="008E4810" w:rsidRDefault="00FA257F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A257F" w:rsidRPr="008E4810" w14:paraId="571860F3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178FD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III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B413A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Accounting profit before tax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21434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1,432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DE954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2,379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D1E9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947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AA5D2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66.11%</w:t>
            </w:r>
          </w:p>
        </w:tc>
      </w:tr>
      <w:tr w:rsidR="00FA257F" w:rsidRPr="008E4810" w14:paraId="75CA1F65" w14:textId="77777777" w:rsidTr="00A82E0C">
        <w:tc>
          <w:tcPr>
            <w:tcW w:w="29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C273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IV</w:t>
            </w:r>
          </w:p>
        </w:tc>
        <w:tc>
          <w:tcPr>
            <w:tcW w:w="18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883F44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003F1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1,390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4388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2,379</w:t>
            </w:r>
          </w:p>
        </w:tc>
        <w:tc>
          <w:tcPr>
            <w:tcW w:w="6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885B64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989</w:t>
            </w:r>
          </w:p>
        </w:tc>
        <w:tc>
          <w:tcPr>
            <w:tcW w:w="9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703D0" w14:textId="77777777" w:rsidR="00FA257F" w:rsidRPr="008E4810" w:rsidRDefault="00A802B3" w:rsidP="00A82E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E4810">
              <w:rPr>
                <w:rFonts w:ascii="Arial" w:hAnsi="Arial" w:cs="Arial"/>
                <w:color w:val="010000"/>
                <w:sz w:val="20"/>
              </w:rPr>
              <w:t>71.15%</w:t>
            </w:r>
          </w:p>
        </w:tc>
      </w:tr>
    </w:tbl>
    <w:p w14:paraId="662367EA" w14:textId="77777777" w:rsidR="00FA257F" w:rsidRPr="00ED5B57" w:rsidRDefault="00A802B3" w:rsidP="00C75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E4810">
        <w:rPr>
          <w:rFonts w:ascii="Arial" w:hAnsi="Arial" w:cs="Arial"/>
          <w:color w:val="010000"/>
          <w:sz w:val="20"/>
        </w:rPr>
        <w:t>Article 2: Approve the Audited Financial Statement</w:t>
      </w:r>
      <w:r w:rsidR="0050204A" w:rsidRPr="008E4810">
        <w:rPr>
          <w:rFonts w:ascii="Arial" w:hAnsi="Arial" w:cs="Arial"/>
          <w:color w:val="010000"/>
          <w:sz w:val="20"/>
        </w:rPr>
        <w:t>s</w:t>
      </w:r>
      <w:r w:rsidRPr="008E4810">
        <w:rPr>
          <w:rFonts w:ascii="Arial" w:hAnsi="Arial" w:cs="Arial"/>
          <w:color w:val="010000"/>
          <w:sz w:val="20"/>
        </w:rPr>
        <w:t xml:space="preserve"> in 2023 of the Company;</w:t>
      </w:r>
    </w:p>
    <w:p w14:paraId="77567085" w14:textId="77777777" w:rsidR="00FA257F" w:rsidRPr="00ED5B57" w:rsidRDefault="00A802B3" w:rsidP="00C759B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Article 3: Approve the report on activities of the Board of Directors in 2023 and directions, tasks in 2024</w:t>
      </w:r>
    </w:p>
    <w:p w14:paraId="4A278977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Article 4: Approve</w:t>
      </w:r>
      <w:r w:rsidR="00403088" w:rsidRPr="00ED5B57">
        <w:rPr>
          <w:rFonts w:ascii="Arial" w:hAnsi="Arial" w:cs="Arial"/>
          <w:color w:val="010000"/>
          <w:sz w:val="20"/>
        </w:rPr>
        <w:t xml:space="preserve"> </w:t>
      </w:r>
      <w:r w:rsidRPr="00ED5B57">
        <w:rPr>
          <w:rFonts w:ascii="Arial" w:hAnsi="Arial" w:cs="Arial"/>
          <w:color w:val="010000"/>
          <w:sz w:val="20"/>
        </w:rPr>
        <w:t>the report on activities of the Supervisory Board in 2023 and the plan on activities</w:t>
      </w:r>
      <w:r w:rsidR="00403088" w:rsidRPr="00ED5B57">
        <w:rPr>
          <w:rFonts w:ascii="Arial" w:hAnsi="Arial" w:cs="Arial"/>
          <w:color w:val="010000"/>
          <w:sz w:val="20"/>
        </w:rPr>
        <w:t xml:space="preserve"> </w:t>
      </w:r>
      <w:r w:rsidRPr="00ED5B57">
        <w:rPr>
          <w:rFonts w:ascii="Arial" w:hAnsi="Arial" w:cs="Arial"/>
          <w:color w:val="010000"/>
          <w:sz w:val="20"/>
        </w:rPr>
        <w:t>of the Supervisory Board in 2024</w:t>
      </w:r>
    </w:p>
    <w:p w14:paraId="69D16A7A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94"/>
          <w:tab w:val="left" w:pos="87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Article 5: Approve the report on business and production results from 2019 to 2024 and the direction for implementing the plan in 2024-2029</w:t>
      </w:r>
      <w:r w:rsidR="00403088" w:rsidRPr="00ED5B57">
        <w:rPr>
          <w:rFonts w:ascii="Arial" w:hAnsi="Arial" w:cs="Arial"/>
          <w:color w:val="010000"/>
          <w:sz w:val="20"/>
        </w:rPr>
        <w:t>.</w:t>
      </w:r>
      <w:r w:rsidRPr="00ED5B57">
        <w:rPr>
          <w:rFonts w:ascii="Arial" w:hAnsi="Arial" w:cs="Arial"/>
          <w:color w:val="010000"/>
          <w:sz w:val="20"/>
        </w:rPr>
        <w:t xml:space="preserve"> </w:t>
      </w:r>
    </w:p>
    <w:p w14:paraId="21EEB8C4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Article 6: Approve the report on the activities results of the Board of Director</w:t>
      </w:r>
      <w:r w:rsidR="0050204A" w:rsidRPr="00ED5B57">
        <w:rPr>
          <w:rFonts w:ascii="Arial" w:hAnsi="Arial" w:cs="Arial"/>
          <w:color w:val="010000"/>
          <w:sz w:val="20"/>
        </w:rPr>
        <w:t>s</w:t>
      </w:r>
      <w:r w:rsidRPr="00ED5B57">
        <w:rPr>
          <w:rFonts w:ascii="Arial" w:hAnsi="Arial" w:cs="Arial"/>
          <w:color w:val="010000"/>
          <w:sz w:val="20"/>
        </w:rPr>
        <w:t xml:space="preserve"> for the term 2019-2024 and the direction of activities for the term 2024-2029.</w:t>
      </w:r>
    </w:p>
    <w:p w14:paraId="5E330700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 xml:space="preserve">Article 7: The report on the activities results </w:t>
      </w:r>
      <w:r w:rsidR="0050204A" w:rsidRPr="00ED5B57">
        <w:rPr>
          <w:rFonts w:ascii="Arial" w:hAnsi="Arial" w:cs="Arial"/>
          <w:color w:val="010000"/>
          <w:sz w:val="20"/>
        </w:rPr>
        <w:t xml:space="preserve">of </w:t>
      </w:r>
      <w:r w:rsidRPr="00ED5B57">
        <w:rPr>
          <w:rFonts w:ascii="Arial" w:hAnsi="Arial" w:cs="Arial"/>
          <w:color w:val="010000"/>
          <w:sz w:val="20"/>
        </w:rPr>
        <w:t xml:space="preserve">the Supervisory </w:t>
      </w:r>
      <w:r w:rsidR="0050204A" w:rsidRPr="00ED5B57">
        <w:rPr>
          <w:rFonts w:ascii="Arial" w:hAnsi="Arial" w:cs="Arial"/>
          <w:color w:val="010000"/>
          <w:sz w:val="20"/>
        </w:rPr>
        <w:t>Board</w:t>
      </w:r>
      <w:r w:rsidRPr="00ED5B57">
        <w:rPr>
          <w:rFonts w:ascii="Arial" w:hAnsi="Arial" w:cs="Arial"/>
          <w:color w:val="010000"/>
          <w:sz w:val="20"/>
        </w:rPr>
        <w:t xml:space="preserve"> for the term 2019-2024, and the direction for the term 2024-2029. </w:t>
      </w:r>
    </w:p>
    <w:p w14:paraId="66A075FF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 xml:space="preserve">Article 8: Approve the proposal on remuneration for the Board of Directors and </w:t>
      </w:r>
      <w:r w:rsidR="0050204A" w:rsidRPr="00ED5B57">
        <w:rPr>
          <w:rFonts w:ascii="Arial" w:hAnsi="Arial" w:cs="Arial"/>
          <w:color w:val="010000"/>
          <w:sz w:val="20"/>
        </w:rPr>
        <w:t xml:space="preserve">the </w:t>
      </w:r>
      <w:r w:rsidRPr="00ED5B57">
        <w:rPr>
          <w:rFonts w:ascii="Arial" w:hAnsi="Arial" w:cs="Arial"/>
          <w:color w:val="010000"/>
          <w:sz w:val="20"/>
        </w:rPr>
        <w:t>Supervisory Board for 2023, as well as the remuneration plan for 2024.</w:t>
      </w:r>
    </w:p>
    <w:p w14:paraId="34DBA02A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Article 9: Approve the proposal to approve the profit distribution plan in 2022 and 2023.</w:t>
      </w:r>
    </w:p>
    <w:p w14:paraId="689C2DA4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 xml:space="preserve">Article 10: Approve the selection of </w:t>
      </w:r>
      <w:r w:rsidR="0050204A" w:rsidRPr="00ED5B57">
        <w:rPr>
          <w:rFonts w:ascii="Arial" w:hAnsi="Arial" w:cs="Arial"/>
          <w:color w:val="010000"/>
          <w:sz w:val="20"/>
        </w:rPr>
        <w:t>an independent audit company</w:t>
      </w:r>
      <w:r w:rsidRPr="00ED5B57">
        <w:rPr>
          <w:rFonts w:ascii="Arial" w:hAnsi="Arial" w:cs="Arial"/>
          <w:color w:val="010000"/>
          <w:sz w:val="20"/>
        </w:rPr>
        <w:t xml:space="preserve"> to audit the Company's Financial Statements in 2024.</w:t>
      </w:r>
    </w:p>
    <w:p w14:paraId="4A8FEA3C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8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 xml:space="preserve">Article 11: Approve the proposal to request approval for the loan plan to support the development of production and business activities for the term 2024 - 2028. Authorize the Board of Directors to implement the mobilization of funds through bank loans. </w:t>
      </w:r>
    </w:p>
    <w:p w14:paraId="0E19CABB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Article 12: Approve the list of elected members of the Board of Directors and the Supervisory Board for the term 2024-2029.</w:t>
      </w:r>
    </w:p>
    <w:p w14:paraId="0E830DA0" w14:textId="77777777" w:rsidR="00FA257F" w:rsidRPr="00ED5B57" w:rsidRDefault="00A802B3" w:rsidP="00C7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Member of the Board of Directors: Comprising 03 (three) members</w:t>
      </w:r>
    </w:p>
    <w:p w14:paraId="54AE749D" w14:textId="77777777" w:rsidR="00FA257F" w:rsidRPr="00ED5B57" w:rsidRDefault="00A802B3" w:rsidP="00C7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0"/>
          <w:tab w:val="left" w:pos="5102"/>
          <w:tab w:val="left" w:pos="5490"/>
          <w:tab w:val="left" w:pos="62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Mr. Bui Thanh Long - Member of the Board of Directors</w:t>
      </w:r>
    </w:p>
    <w:p w14:paraId="43BC7B6F" w14:textId="55B8FEA5" w:rsidR="00FA257F" w:rsidRPr="00ED5B57" w:rsidRDefault="00A802B3" w:rsidP="00C7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0"/>
          <w:tab w:val="left" w:pos="5102"/>
          <w:tab w:val="left" w:pos="5490"/>
          <w:tab w:val="left" w:pos="62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Mr. L</w:t>
      </w:r>
      <w:r w:rsidR="00ED5B57" w:rsidRPr="00ED5B57">
        <w:rPr>
          <w:rFonts w:ascii="Arial" w:hAnsi="Arial" w:cs="Arial"/>
          <w:color w:val="010000"/>
          <w:sz w:val="20"/>
        </w:rPr>
        <w:t>e</w:t>
      </w:r>
      <w:r w:rsidRPr="00ED5B57">
        <w:rPr>
          <w:rFonts w:ascii="Arial" w:hAnsi="Arial" w:cs="Arial"/>
          <w:color w:val="010000"/>
          <w:sz w:val="20"/>
        </w:rPr>
        <w:t xml:space="preserve"> Van Mot - Member of the Board of Directors</w:t>
      </w:r>
    </w:p>
    <w:p w14:paraId="30D82758" w14:textId="77777777" w:rsidR="00FA257F" w:rsidRPr="00ED5B57" w:rsidRDefault="00A802B3" w:rsidP="00C7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0"/>
          <w:tab w:val="left" w:pos="5102"/>
          <w:tab w:val="left" w:pos="5480"/>
          <w:tab w:val="left" w:pos="62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Ms. Trinh Thi Mai Dung - Member of the Board of Directors</w:t>
      </w:r>
    </w:p>
    <w:p w14:paraId="6F6A2286" w14:textId="77777777" w:rsidR="00FA257F" w:rsidRPr="00ED5B57" w:rsidRDefault="00A802B3" w:rsidP="00C7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Members of the Supervisory Board: Comprising 03 (three) members</w:t>
      </w:r>
    </w:p>
    <w:p w14:paraId="55BB5A6D" w14:textId="77777777" w:rsidR="00FA257F" w:rsidRPr="00ED5B57" w:rsidRDefault="00A802B3" w:rsidP="00C7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102"/>
          <w:tab w:val="left" w:pos="5480"/>
          <w:tab w:val="left" w:pos="62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lastRenderedPageBreak/>
        <w:t xml:space="preserve">Mr. Ngo Hong </w:t>
      </w:r>
      <w:r w:rsidR="0050204A" w:rsidRPr="00ED5B57">
        <w:rPr>
          <w:rFonts w:ascii="Arial" w:hAnsi="Arial" w:cs="Arial"/>
          <w:color w:val="010000"/>
          <w:sz w:val="20"/>
        </w:rPr>
        <w:t>Minh</w:t>
      </w:r>
      <w:r w:rsidRPr="00ED5B57">
        <w:rPr>
          <w:rFonts w:ascii="Arial" w:hAnsi="Arial" w:cs="Arial"/>
          <w:color w:val="010000"/>
          <w:sz w:val="20"/>
        </w:rPr>
        <w:t xml:space="preserve"> - Member of the </w:t>
      </w:r>
      <w:r w:rsidR="0050204A" w:rsidRPr="00ED5B57">
        <w:rPr>
          <w:rFonts w:ascii="Arial" w:hAnsi="Arial" w:cs="Arial"/>
          <w:color w:val="010000"/>
          <w:sz w:val="20"/>
        </w:rPr>
        <w:t>Supervisory Board</w:t>
      </w:r>
    </w:p>
    <w:p w14:paraId="0F88E93C" w14:textId="77777777" w:rsidR="00FA257F" w:rsidRPr="00ED5B57" w:rsidRDefault="00A802B3" w:rsidP="00C7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  <w:tab w:val="left" w:pos="5102"/>
          <w:tab w:val="left" w:pos="5490"/>
          <w:tab w:val="left" w:pos="6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Mr. To Manh Ha - Members of the Supervisory Board</w:t>
      </w:r>
    </w:p>
    <w:p w14:paraId="126849EA" w14:textId="77777777" w:rsidR="00FA257F" w:rsidRPr="00ED5B57" w:rsidRDefault="00A802B3" w:rsidP="00C7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30"/>
          <w:tab w:val="left" w:pos="5102"/>
          <w:tab w:val="left" w:pos="5490"/>
          <w:tab w:val="left" w:pos="62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>Mr. Nguyen Anh Tuan - Members of the Supervisory Board</w:t>
      </w:r>
    </w:p>
    <w:p w14:paraId="45E84271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 xml:space="preserve">Article 13: The General Mandate takes effect from June 14, 2024. The Board of Directors, </w:t>
      </w:r>
      <w:r w:rsidR="0050204A" w:rsidRPr="00ED5B57">
        <w:rPr>
          <w:rFonts w:ascii="Arial" w:hAnsi="Arial" w:cs="Arial"/>
          <w:color w:val="010000"/>
          <w:sz w:val="20"/>
        </w:rPr>
        <w:t xml:space="preserve">the </w:t>
      </w:r>
      <w:r w:rsidRPr="00ED5B57">
        <w:rPr>
          <w:rFonts w:ascii="Arial" w:hAnsi="Arial" w:cs="Arial"/>
          <w:color w:val="010000"/>
          <w:sz w:val="20"/>
        </w:rPr>
        <w:t>Supervisory Board, the Board of Managers, and all shareholders of Thuan An Coffee Joint Stock Company are responsible for implementing this General Mandate.</w:t>
      </w:r>
    </w:p>
    <w:p w14:paraId="7A49B7DF" w14:textId="77777777" w:rsidR="00FA257F" w:rsidRPr="00ED5B57" w:rsidRDefault="00A802B3" w:rsidP="00C759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5B57">
        <w:rPr>
          <w:rFonts w:ascii="Arial" w:hAnsi="Arial" w:cs="Arial"/>
          <w:color w:val="010000"/>
          <w:sz w:val="20"/>
        </w:rPr>
        <w:t xml:space="preserve">Article 14: The Board of Directors is responsible for announcing the General Mandate of the Annual General Meeting of Shareholders for the year 2024 and posting </w:t>
      </w:r>
      <w:r w:rsidR="00136C78" w:rsidRPr="00ED5B57">
        <w:rPr>
          <w:rFonts w:ascii="Arial" w:hAnsi="Arial" w:cs="Arial"/>
          <w:color w:val="010000"/>
          <w:sz w:val="20"/>
        </w:rPr>
        <w:t>it</w:t>
      </w:r>
      <w:r w:rsidRPr="00ED5B57">
        <w:rPr>
          <w:rFonts w:ascii="Arial" w:hAnsi="Arial" w:cs="Arial"/>
          <w:color w:val="010000"/>
          <w:sz w:val="20"/>
        </w:rPr>
        <w:t xml:space="preserve"> on the Company's website in accordance with legal regulations.</w:t>
      </w:r>
    </w:p>
    <w:sectPr w:rsidR="00FA257F" w:rsidRPr="00ED5B57" w:rsidSect="00ED5B57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B5B"/>
    <w:multiLevelType w:val="multilevel"/>
    <w:tmpl w:val="9496CC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560B5F"/>
    <w:multiLevelType w:val="multilevel"/>
    <w:tmpl w:val="A37671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7F"/>
    <w:rsid w:val="00136C78"/>
    <w:rsid w:val="00403088"/>
    <w:rsid w:val="00407017"/>
    <w:rsid w:val="0050204A"/>
    <w:rsid w:val="00841DBA"/>
    <w:rsid w:val="008E4810"/>
    <w:rsid w:val="00A802B3"/>
    <w:rsid w:val="00A82E0C"/>
    <w:rsid w:val="00AD7A1D"/>
    <w:rsid w:val="00C759B4"/>
    <w:rsid w:val="00E176B0"/>
    <w:rsid w:val="00ED5B57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E1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43" w:lineRule="auto"/>
      <w:ind w:firstLine="400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343" w:lineRule="auto"/>
      <w:ind w:firstLine="400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spacing w:line="180" w:lineRule="auto"/>
      <w:jc w:val="right"/>
      <w:outlineLvl w:val="0"/>
    </w:pPr>
    <w:rPr>
      <w:rFonts w:ascii="Arial" w:eastAsia="Arial" w:hAnsi="Arial" w:cs="Arial"/>
      <w:smallCap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6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343" w:lineRule="auto"/>
      <w:ind w:firstLine="400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0"/>
      <w:szCs w:val="10"/>
    </w:rPr>
  </w:style>
  <w:style w:type="paragraph" w:styleId="BodyText">
    <w:name w:val="Body Text"/>
    <w:basedOn w:val="Normal"/>
    <w:link w:val="BodyTextChar"/>
    <w:qFormat/>
    <w:pPr>
      <w:spacing w:line="343" w:lineRule="auto"/>
      <w:ind w:firstLine="400"/>
    </w:pPr>
    <w:rPr>
      <w:rFonts w:ascii="Arial" w:eastAsia="Arial" w:hAnsi="Arial" w:cs="Arial"/>
    </w:rPr>
  </w:style>
  <w:style w:type="paragraph" w:customStyle="1" w:styleId="Heading11">
    <w:name w:val="Heading #1"/>
    <w:basedOn w:val="Normal"/>
    <w:link w:val="Heading10"/>
    <w:pPr>
      <w:spacing w:line="180" w:lineRule="auto"/>
      <w:jc w:val="right"/>
      <w:outlineLvl w:val="0"/>
    </w:pPr>
    <w:rPr>
      <w:rFonts w:ascii="Arial" w:eastAsia="Arial" w:hAnsi="Arial" w:cs="Arial"/>
      <w:smallCap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6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QSvk0ijfAaNf/5O7dY0MumoqwA==">CgMxLjA4AHIhMUF5eUxNUHZJdURzTUxVRWpZSTRqZEZkLXdtdWpxTk1o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724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11</cp:revision>
  <dcterms:created xsi:type="dcterms:W3CDTF">2024-06-24T05:25:00Z</dcterms:created>
  <dcterms:modified xsi:type="dcterms:W3CDTF">2024-06-26T03:36:00Z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c75a95a2644a4f032c1c5d70ddebb64f87dfc27a15185bc7d82f710e9f7bec0d</vt:lpwstr>
  </property>
</Properties>
</file>