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01099" w14:textId="4D9A8A34" w:rsidR="00153C58" w:rsidRPr="008D7373" w:rsidRDefault="004F7D05" w:rsidP="004703EF">
      <w:pPr>
        <w:widowControl/>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8D7373">
        <w:rPr>
          <w:rFonts w:ascii="Arial" w:hAnsi="Arial" w:cs="Arial"/>
          <w:b/>
          <w:color w:val="010000"/>
          <w:sz w:val="20"/>
        </w:rPr>
        <w:t xml:space="preserve">TVC: Board Resolution and Report on share </w:t>
      </w:r>
      <w:r w:rsidR="004703EF">
        <w:rPr>
          <w:rFonts w:ascii="Arial" w:hAnsi="Arial" w:cs="Arial"/>
          <w:b/>
          <w:color w:val="010000"/>
          <w:sz w:val="20"/>
        </w:rPr>
        <w:t>buyback</w:t>
      </w:r>
      <w:r w:rsidRPr="008D7373">
        <w:rPr>
          <w:rFonts w:ascii="Arial" w:hAnsi="Arial" w:cs="Arial"/>
          <w:b/>
          <w:color w:val="010000"/>
          <w:sz w:val="20"/>
        </w:rPr>
        <w:t xml:space="preserve"> to reduce charter capital</w:t>
      </w:r>
    </w:p>
    <w:p w14:paraId="63D99938" w14:textId="3A0EEC8D" w:rsidR="00153C58" w:rsidRPr="008D7373" w:rsidRDefault="004F7D05" w:rsidP="004703EF">
      <w:pPr>
        <w:widowControl/>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On June </w:t>
      </w:r>
      <w:r w:rsidR="006122CE" w:rsidRPr="008D7373">
        <w:rPr>
          <w:rFonts w:ascii="Arial" w:hAnsi="Arial" w:cs="Arial"/>
          <w:color w:val="010000"/>
          <w:sz w:val="20"/>
        </w:rPr>
        <w:t>20</w:t>
      </w:r>
      <w:r w:rsidRPr="008D7373">
        <w:rPr>
          <w:rFonts w:ascii="Arial" w:hAnsi="Arial" w:cs="Arial"/>
          <w:color w:val="010000"/>
          <w:sz w:val="20"/>
        </w:rPr>
        <w:t xml:space="preserve">, 2024, Tri Viet Asset Management Corporation Joint Stock Company announced </w:t>
      </w:r>
      <w:r w:rsidR="004703EF">
        <w:rPr>
          <w:rFonts w:ascii="Arial" w:hAnsi="Arial" w:cs="Arial"/>
          <w:color w:val="010000"/>
          <w:sz w:val="20"/>
        </w:rPr>
        <w:t xml:space="preserve">Board </w:t>
      </w:r>
      <w:r w:rsidRPr="008D7373">
        <w:rPr>
          <w:rFonts w:ascii="Arial" w:hAnsi="Arial" w:cs="Arial"/>
          <w:color w:val="010000"/>
          <w:sz w:val="20"/>
        </w:rPr>
        <w:t xml:space="preserve">Resolution </w:t>
      </w:r>
      <w:r w:rsidR="00FE1F1F" w:rsidRPr="008D7373">
        <w:rPr>
          <w:rFonts w:ascii="Arial" w:hAnsi="Arial" w:cs="Arial"/>
          <w:color w:val="010000"/>
          <w:sz w:val="20"/>
        </w:rPr>
        <w:t xml:space="preserve">No. </w:t>
      </w:r>
      <w:r w:rsidRPr="008D7373">
        <w:rPr>
          <w:rFonts w:ascii="Arial" w:hAnsi="Arial" w:cs="Arial"/>
          <w:color w:val="010000"/>
          <w:sz w:val="20"/>
        </w:rPr>
        <w:t xml:space="preserve">11/2024/NQ-HDQT/TVC on adjusting the </w:t>
      </w:r>
      <w:r w:rsidR="00967D4A" w:rsidRPr="008D7373">
        <w:rPr>
          <w:rFonts w:ascii="Arial" w:hAnsi="Arial" w:cs="Arial"/>
          <w:color w:val="010000"/>
          <w:sz w:val="20"/>
        </w:rPr>
        <w:t xml:space="preserve">plan for </w:t>
      </w:r>
      <w:r w:rsidRPr="008D7373">
        <w:rPr>
          <w:rFonts w:ascii="Arial" w:hAnsi="Arial" w:cs="Arial"/>
          <w:color w:val="010000"/>
          <w:sz w:val="20"/>
        </w:rPr>
        <w:t xml:space="preserve">share </w:t>
      </w:r>
      <w:r w:rsidR="004703EF">
        <w:rPr>
          <w:rFonts w:ascii="Arial" w:hAnsi="Arial" w:cs="Arial"/>
          <w:color w:val="010000"/>
          <w:sz w:val="20"/>
        </w:rPr>
        <w:t>buyback</w:t>
      </w:r>
      <w:r w:rsidRPr="008D7373">
        <w:rPr>
          <w:rFonts w:ascii="Arial" w:hAnsi="Arial" w:cs="Arial"/>
          <w:color w:val="010000"/>
          <w:sz w:val="20"/>
        </w:rPr>
        <w:t xml:space="preserve"> to reduce</w:t>
      </w:r>
      <w:r w:rsidR="00967D4A" w:rsidRPr="008D7373">
        <w:rPr>
          <w:rFonts w:ascii="Arial" w:hAnsi="Arial" w:cs="Arial"/>
          <w:color w:val="010000"/>
          <w:sz w:val="20"/>
        </w:rPr>
        <w:t xml:space="preserve"> the</w:t>
      </w:r>
      <w:r w:rsidRPr="008D7373">
        <w:rPr>
          <w:rFonts w:ascii="Arial" w:hAnsi="Arial" w:cs="Arial"/>
          <w:color w:val="010000"/>
          <w:sz w:val="20"/>
        </w:rPr>
        <w:t xml:space="preserve"> charter capital as follows:</w:t>
      </w:r>
    </w:p>
    <w:p w14:paraId="2DD7D8CE" w14:textId="18E5C645" w:rsidR="00153C58" w:rsidRPr="008D7373" w:rsidRDefault="004F7D05" w:rsidP="004703E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‎‎Article 1. Approve the adjustment of some contents in the </w:t>
      </w:r>
      <w:r w:rsidR="00967D4A" w:rsidRPr="008D7373">
        <w:rPr>
          <w:rFonts w:ascii="Arial" w:hAnsi="Arial" w:cs="Arial"/>
          <w:color w:val="010000"/>
          <w:sz w:val="20"/>
        </w:rPr>
        <w:t xml:space="preserve">plan on </w:t>
      </w:r>
      <w:r w:rsidRPr="008D7373">
        <w:rPr>
          <w:rFonts w:ascii="Arial" w:hAnsi="Arial" w:cs="Arial"/>
          <w:color w:val="010000"/>
          <w:sz w:val="20"/>
        </w:rPr>
        <w:t xml:space="preserve">share </w:t>
      </w:r>
      <w:r w:rsidR="004703EF">
        <w:rPr>
          <w:rFonts w:ascii="Arial" w:hAnsi="Arial" w:cs="Arial"/>
          <w:color w:val="010000"/>
          <w:sz w:val="20"/>
        </w:rPr>
        <w:t>buyback</w:t>
      </w:r>
      <w:r w:rsidRPr="008D7373">
        <w:rPr>
          <w:rFonts w:ascii="Arial" w:hAnsi="Arial" w:cs="Arial"/>
          <w:color w:val="010000"/>
          <w:sz w:val="20"/>
        </w:rPr>
        <w:t xml:space="preserve"> according to Clause 1 of Board Resolution </w:t>
      </w:r>
      <w:r w:rsidR="00FE1F1F" w:rsidRPr="008D7373">
        <w:rPr>
          <w:rFonts w:ascii="Arial" w:hAnsi="Arial" w:cs="Arial"/>
          <w:color w:val="010000"/>
          <w:sz w:val="20"/>
        </w:rPr>
        <w:t xml:space="preserve">No. </w:t>
      </w:r>
      <w:r w:rsidRPr="008D7373">
        <w:rPr>
          <w:rFonts w:ascii="Arial" w:hAnsi="Arial" w:cs="Arial"/>
          <w:color w:val="010000"/>
          <w:sz w:val="20"/>
        </w:rPr>
        <w:t xml:space="preserve">17/2023/NQ-HDQT/TVC dated July 13, 2023 on implementing the </w:t>
      </w:r>
      <w:r w:rsidR="00967D4A" w:rsidRPr="008D7373">
        <w:rPr>
          <w:rFonts w:ascii="Arial" w:hAnsi="Arial" w:cs="Arial"/>
          <w:color w:val="010000"/>
          <w:sz w:val="20"/>
        </w:rPr>
        <w:t xml:space="preserve">plan on </w:t>
      </w:r>
      <w:r w:rsidRPr="008D7373">
        <w:rPr>
          <w:rFonts w:ascii="Arial" w:hAnsi="Arial" w:cs="Arial"/>
          <w:color w:val="010000"/>
          <w:sz w:val="20"/>
        </w:rPr>
        <w:t xml:space="preserve">share </w:t>
      </w:r>
      <w:r w:rsidR="004703EF">
        <w:rPr>
          <w:rFonts w:ascii="Arial" w:hAnsi="Arial" w:cs="Arial"/>
          <w:color w:val="010000"/>
          <w:sz w:val="20"/>
        </w:rPr>
        <w:t>buyback</w:t>
      </w:r>
      <w:r w:rsidRPr="008D7373">
        <w:rPr>
          <w:rFonts w:ascii="Arial" w:hAnsi="Arial" w:cs="Arial"/>
          <w:color w:val="010000"/>
          <w:sz w:val="20"/>
        </w:rPr>
        <w:t xml:space="preserve"> to reduce charter capital. Specifically: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3"/>
        <w:gridCol w:w="4182"/>
        <w:gridCol w:w="4191"/>
      </w:tblGrid>
      <w:tr w:rsidR="00153C58" w:rsidRPr="008D7373" w14:paraId="39FEB9D2" w14:textId="77777777" w:rsidTr="00470DC8">
        <w:tc>
          <w:tcPr>
            <w:tcW w:w="357" w:type="pct"/>
            <w:shd w:val="clear" w:color="auto" w:fill="auto"/>
            <w:tcMar>
              <w:top w:w="0" w:type="dxa"/>
              <w:bottom w:w="0" w:type="dxa"/>
            </w:tcMar>
            <w:vAlign w:val="center"/>
          </w:tcPr>
          <w:p w14:paraId="4CA51A0C" w14:textId="77777777" w:rsidR="00153C58" w:rsidRPr="008D7373" w:rsidRDefault="00FE1F1F" w:rsidP="00470DC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D7373">
              <w:rPr>
                <w:rFonts w:ascii="Arial" w:hAnsi="Arial" w:cs="Arial"/>
                <w:color w:val="010000"/>
                <w:sz w:val="20"/>
              </w:rPr>
              <w:t xml:space="preserve">No. </w:t>
            </w:r>
          </w:p>
        </w:tc>
        <w:tc>
          <w:tcPr>
            <w:tcW w:w="2319" w:type="pct"/>
            <w:shd w:val="clear" w:color="auto" w:fill="auto"/>
            <w:tcMar>
              <w:top w:w="0" w:type="dxa"/>
              <w:bottom w:w="0" w:type="dxa"/>
            </w:tcMar>
            <w:vAlign w:val="center"/>
          </w:tcPr>
          <w:p w14:paraId="74E51593" w14:textId="77777777" w:rsidR="00153C58" w:rsidRPr="008D7373" w:rsidRDefault="004F7D05" w:rsidP="00470DC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D7373">
              <w:rPr>
                <w:rFonts w:ascii="Arial" w:hAnsi="Arial" w:cs="Arial"/>
                <w:color w:val="010000"/>
                <w:sz w:val="20"/>
              </w:rPr>
              <w:t>Unadjusted content</w:t>
            </w:r>
          </w:p>
        </w:tc>
        <w:tc>
          <w:tcPr>
            <w:tcW w:w="2324" w:type="pct"/>
            <w:shd w:val="clear" w:color="auto" w:fill="auto"/>
            <w:tcMar>
              <w:top w:w="0" w:type="dxa"/>
              <w:bottom w:w="0" w:type="dxa"/>
            </w:tcMar>
            <w:vAlign w:val="center"/>
          </w:tcPr>
          <w:p w14:paraId="137992BB" w14:textId="77777777" w:rsidR="00153C58" w:rsidRPr="008D7373" w:rsidRDefault="004F7D05" w:rsidP="00470DC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D7373">
              <w:rPr>
                <w:rFonts w:ascii="Arial" w:hAnsi="Arial" w:cs="Arial"/>
                <w:color w:val="010000"/>
                <w:sz w:val="20"/>
              </w:rPr>
              <w:t>Adjusted content</w:t>
            </w:r>
          </w:p>
        </w:tc>
      </w:tr>
      <w:tr w:rsidR="00153C58" w:rsidRPr="008D7373" w14:paraId="23284710" w14:textId="77777777" w:rsidTr="00470DC8">
        <w:tc>
          <w:tcPr>
            <w:tcW w:w="357" w:type="pct"/>
            <w:shd w:val="clear" w:color="auto" w:fill="auto"/>
            <w:tcMar>
              <w:top w:w="0" w:type="dxa"/>
              <w:bottom w:w="0" w:type="dxa"/>
            </w:tcMar>
            <w:vAlign w:val="center"/>
          </w:tcPr>
          <w:p w14:paraId="7C2B755E" w14:textId="77777777" w:rsidR="00153C58" w:rsidRPr="008D7373" w:rsidRDefault="004F7D05" w:rsidP="00470DC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D7373">
              <w:rPr>
                <w:rFonts w:ascii="Arial" w:hAnsi="Arial" w:cs="Arial"/>
                <w:color w:val="010000"/>
                <w:sz w:val="20"/>
              </w:rPr>
              <w:t>1</w:t>
            </w:r>
          </w:p>
        </w:tc>
        <w:tc>
          <w:tcPr>
            <w:tcW w:w="2319" w:type="pct"/>
            <w:shd w:val="clear" w:color="auto" w:fill="auto"/>
            <w:tcMar>
              <w:top w:w="0" w:type="dxa"/>
              <w:bottom w:w="0" w:type="dxa"/>
            </w:tcMar>
            <w:vAlign w:val="center"/>
          </w:tcPr>
          <w:p w14:paraId="2A428D50" w14:textId="4B6F91AE" w:rsidR="00153C58" w:rsidRPr="008D7373" w:rsidRDefault="004F7D05" w:rsidP="00470DC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D7373">
              <w:rPr>
                <w:rFonts w:ascii="Arial" w:hAnsi="Arial" w:cs="Arial"/>
                <w:color w:val="010000"/>
                <w:sz w:val="20"/>
              </w:rPr>
              <w:t xml:space="preserve">8. Total number of shares registered for the </w:t>
            </w:r>
            <w:r w:rsidR="004703EF">
              <w:rPr>
                <w:rFonts w:ascii="Arial" w:hAnsi="Arial" w:cs="Arial"/>
                <w:color w:val="010000"/>
                <w:sz w:val="20"/>
              </w:rPr>
              <w:t>buyback</w:t>
            </w:r>
            <w:r w:rsidRPr="008D7373">
              <w:rPr>
                <w:rFonts w:ascii="Arial" w:hAnsi="Arial" w:cs="Arial"/>
                <w:color w:val="010000"/>
                <w:sz w:val="20"/>
              </w:rPr>
              <w:t xml:space="preserve"> in round 1: 5,000,000 shares</w:t>
            </w:r>
          </w:p>
        </w:tc>
        <w:tc>
          <w:tcPr>
            <w:tcW w:w="2324" w:type="pct"/>
            <w:shd w:val="clear" w:color="auto" w:fill="auto"/>
            <w:tcMar>
              <w:top w:w="0" w:type="dxa"/>
              <w:bottom w:w="0" w:type="dxa"/>
            </w:tcMar>
            <w:vAlign w:val="center"/>
          </w:tcPr>
          <w:p w14:paraId="5633FAC5" w14:textId="073A7412" w:rsidR="00153C58" w:rsidRPr="008D7373" w:rsidRDefault="004F7D05" w:rsidP="00470DC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D7373">
              <w:rPr>
                <w:rFonts w:ascii="Arial" w:hAnsi="Arial" w:cs="Arial"/>
                <w:color w:val="010000"/>
                <w:sz w:val="20"/>
              </w:rPr>
              <w:t xml:space="preserve">8. Total number of shares registered for the </w:t>
            </w:r>
            <w:r w:rsidR="004703EF">
              <w:rPr>
                <w:rFonts w:ascii="Arial" w:hAnsi="Arial" w:cs="Arial"/>
                <w:color w:val="010000"/>
                <w:sz w:val="20"/>
              </w:rPr>
              <w:t>buyback</w:t>
            </w:r>
            <w:r w:rsidRPr="008D7373">
              <w:rPr>
                <w:rFonts w:ascii="Arial" w:hAnsi="Arial" w:cs="Arial"/>
                <w:color w:val="010000"/>
                <w:sz w:val="20"/>
              </w:rPr>
              <w:t>: 8,000,000 shares</w:t>
            </w:r>
          </w:p>
        </w:tc>
      </w:tr>
      <w:tr w:rsidR="00153C58" w:rsidRPr="008D7373" w14:paraId="6C1D5387" w14:textId="77777777" w:rsidTr="008D7373">
        <w:tc>
          <w:tcPr>
            <w:tcW w:w="357" w:type="pct"/>
            <w:shd w:val="clear" w:color="auto" w:fill="auto"/>
            <w:tcMar>
              <w:top w:w="0" w:type="dxa"/>
              <w:bottom w:w="0" w:type="dxa"/>
            </w:tcMar>
            <w:vAlign w:val="center"/>
          </w:tcPr>
          <w:p w14:paraId="5B3AEF14" w14:textId="77777777" w:rsidR="00153C58" w:rsidRPr="008D7373" w:rsidRDefault="004F7D05" w:rsidP="00470DC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D7373">
              <w:rPr>
                <w:rFonts w:ascii="Arial" w:hAnsi="Arial" w:cs="Arial"/>
                <w:color w:val="010000"/>
                <w:sz w:val="20"/>
              </w:rPr>
              <w:t>2</w:t>
            </w:r>
          </w:p>
        </w:tc>
        <w:tc>
          <w:tcPr>
            <w:tcW w:w="2319" w:type="pct"/>
            <w:shd w:val="clear" w:color="auto" w:fill="auto"/>
            <w:tcMar>
              <w:top w:w="0" w:type="dxa"/>
              <w:bottom w:w="0" w:type="dxa"/>
            </w:tcMar>
          </w:tcPr>
          <w:p w14:paraId="7EF2A9EE" w14:textId="7236D35A" w:rsidR="00153C58" w:rsidRPr="008D7373" w:rsidRDefault="004F7D05" w:rsidP="008D737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D7373">
              <w:rPr>
                <w:rFonts w:ascii="Arial" w:hAnsi="Arial" w:cs="Arial"/>
                <w:color w:val="010000"/>
                <w:sz w:val="20"/>
              </w:rPr>
              <w:t xml:space="preserve">10. Capital source for the </w:t>
            </w:r>
            <w:r w:rsidR="004703EF">
              <w:rPr>
                <w:rFonts w:ascii="Arial" w:hAnsi="Arial" w:cs="Arial"/>
                <w:color w:val="010000"/>
                <w:sz w:val="20"/>
              </w:rPr>
              <w:t>buyback</w:t>
            </w:r>
            <w:r w:rsidRPr="008D7373">
              <w:rPr>
                <w:rFonts w:ascii="Arial" w:hAnsi="Arial" w:cs="Arial"/>
                <w:color w:val="010000"/>
                <w:sz w:val="20"/>
              </w:rPr>
              <w:t xml:space="preserve">: </w:t>
            </w:r>
            <w:r w:rsidR="00967D4A" w:rsidRPr="008D7373">
              <w:rPr>
                <w:rFonts w:ascii="Arial" w:hAnsi="Arial" w:cs="Arial"/>
                <w:color w:val="010000"/>
                <w:sz w:val="20"/>
              </w:rPr>
              <w:t>The capital</w:t>
            </w:r>
            <w:r w:rsidRPr="008D7373">
              <w:rPr>
                <w:rFonts w:ascii="Arial" w:hAnsi="Arial" w:cs="Arial"/>
                <w:color w:val="010000"/>
                <w:sz w:val="20"/>
              </w:rPr>
              <w:t xml:space="preserve"> source for the </w:t>
            </w:r>
            <w:r w:rsidR="004703EF">
              <w:rPr>
                <w:rFonts w:ascii="Arial" w:hAnsi="Arial" w:cs="Arial"/>
                <w:color w:val="010000"/>
                <w:sz w:val="20"/>
              </w:rPr>
              <w:t>buyback</w:t>
            </w:r>
            <w:r w:rsidRPr="008D7373">
              <w:rPr>
                <w:rFonts w:ascii="Arial" w:hAnsi="Arial" w:cs="Arial"/>
                <w:color w:val="010000"/>
                <w:sz w:val="20"/>
              </w:rPr>
              <w:t xml:space="preserve"> is deducted in the following order of priority:</w:t>
            </w:r>
          </w:p>
          <w:p w14:paraId="3E6DFD3B" w14:textId="77777777" w:rsidR="00153C58" w:rsidRPr="008D7373" w:rsidRDefault="004F7D05" w:rsidP="008D7373">
            <w:pPr>
              <w:numPr>
                <w:ilvl w:val="0"/>
                <w:numId w:val="4"/>
              </w:numPr>
              <w:pBdr>
                <w:top w:val="nil"/>
                <w:left w:val="nil"/>
                <w:bottom w:val="nil"/>
                <w:right w:val="nil"/>
                <w:between w:val="nil"/>
              </w:pBdr>
              <w:tabs>
                <w:tab w:val="left" w:pos="187"/>
                <w:tab w:val="left" w:pos="360"/>
              </w:tabs>
              <w:spacing w:after="120" w:line="360" w:lineRule="auto"/>
              <w:rPr>
                <w:rFonts w:ascii="Arial" w:eastAsia="Arial" w:hAnsi="Arial" w:cs="Arial"/>
                <w:color w:val="010000"/>
                <w:sz w:val="20"/>
                <w:szCs w:val="20"/>
              </w:rPr>
            </w:pPr>
            <w:r w:rsidRPr="008D7373">
              <w:rPr>
                <w:rFonts w:ascii="Arial" w:hAnsi="Arial" w:cs="Arial"/>
                <w:color w:val="010000"/>
                <w:sz w:val="20"/>
              </w:rPr>
              <w:t>Share premium: VND52,437,300,000;</w:t>
            </w:r>
          </w:p>
          <w:p w14:paraId="1C989E52" w14:textId="77777777" w:rsidR="00153C58" w:rsidRPr="008D7373" w:rsidRDefault="004F7D05" w:rsidP="008D7373">
            <w:pPr>
              <w:numPr>
                <w:ilvl w:val="0"/>
                <w:numId w:val="4"/>
              </w:numPr>
              <w:pBdr>
                <w:top w:val="nil"/>
                <w:left w:val="nil"/>
                <w:bottom w:val="nil"/>
                <w:right w:val="nil"/>
                <w:between w:val="nil"/>
              </w:pBdr>
              <w:tabs>
                <w:tab w:val="left" w:pos="206"/>
                <w:tab w:val="left" w:pos="360"/>
              </w:tabs>
              <w:spacing w:after="120" w:line="360" w:lineRule="auto"/>
              <w:rPr>
                <w:rFonts w:ascii="Arial" w:eastAsia="Arial" w:hAnsi="Arial" w:cs="Arial"/>
                <w:color w:val="010000"/>
                <w:sz w:val="20"/>
                <w:szCs w:val="20"/>
              </w:rPr>
            </w:pPr>
            <w:r w:rsidRPr="008D7373">
              <w:rPr>
                <w:rFonts w:ascii="Arial" w:hAnsi="Arial" w:cs="Arial"/>
                <w:color w:val="010000"/>
                <w:sz w:val="20"/>
              </w:rPr>
              <w:t>Investment and development fund: VND23,716,973,549;</w:t>
            </w:r>
          </w:p>
          <w:p w14:paraId="25FE7A1F" w14:textId="77777777" w:rsidR="00153C58" w:rsidRPr="008D7373" w:rsidRDefault="004F7D05" w:rsidP="008D7373">
            <w:pPr>
              <w:numPr>
                <w:ilvl w:val="0"/>
                <w:numId w:val="4"/>
              </w:numPr>
              <w:pBdr>
                <w:top w:val="nil"/>
                <w:left w:val="nil"/>
                <w:bottom w:val="nil"/>
                <w:right w:val="nil"/>
                <w:between w:val="nil"/>
              </w:pBdr>
              <w:tabs>
                <w:tab w:val="left" w:pos="278"/>
                <w:tab w:val="left" w:pos="360"/>
              </w:tabs>
              <w:spacing w:after="120" w:line="360" w:lineRule="auto"/>
              <w:rPr>
                <w:rFonts w:ascii="Arial" w:eastAsia="Arial" w:hAnsi="Arial" w:cs="Arial"/>
                <w:color w:val="010000"/>
                <w:sz w:val="20"/>
                <w:szCs w:val="20"/>
              </w:rPr>
            </w:pPr>
            <w:r w:rsidRPr="008D7373">
              <w:rPr>
                <w:rFonts w:ascii="Arial" w:hAnsi="Arial" w:cs="Arial"/>
                <w:color w:val="010000"/>
                <w:sz w:val="20"/>
              </w:rPr>
              <w:t>Other funds under owner's equity: VND23,522,719,055;</w:t>
            </w:r>
          </w:p>
          <w:p w14:paraId="2E9FB1EF" w14:textId="77777777" w:rsidR="00153C58" w:rsidRPr="008D7373" w:rsidRDefault="004F7D05" w:rsidP="008D737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D7373">
              <w:rPr>
                <w:rFonts w:ascii="Arial" w:hAnsi="Arial" w:cs="Arial"/>
                <w:color w:val="010000"/>
                <w:sz w:val="20"/>
              </w:rPr>
              <w:t>(Pursuant to the Audited Separate Financial Statements as of December 31, 2022)</w:t>
            </w:r>
          </w:p>
        </w:tc>
        <w:tc>
          <w:tcPr>
            <w:tcW w:w="2324" w:type="pct"/>
            <w:shd w:val="clear" w:color="auto" w:fill="auto"/>
            <w:tcMar>
              <w:top w:w="0" w:type="dxa"/>
              <w:bottom w:w="0" w:type="dxa"/>
            </w:tcMar>
            <w:vAlign w:val="center"/>
          </w:tcPr>
          <w:p w14:paraId="3F79D9EB" w14:textId="4E4F0F9F" w:rsidR="00153C58" w:rsidRPr="008D7373" w:rsidRDefault="004F7D05" w:rsidP="00470DC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D7373">
              <w:rPr>
                <w:rFonts w:ascii="Arial" w:hAnsi="Arial" w:cs="Arial"/>
                <w:color w:val="010000"/>
                <w:sz w:val="20"/>
              </w:rPr>
              <w:t xml:space="preserve">10. Capital source for the </w:t>
            </w:r>
            <w:r w:rsidR="004703EF">
              <w:rPr>
                <w:rFonts w:ascii="Arial" w:hAnsi="Arial" w:cs="Arial"/>
                <w:color w:val="010000"/>
                <w:sz w:val="20"/>
              </w:rPr>
              <w:t>buyback</w:t>
            </w:r>
            <w:r w:rsidRPr="008D7373">
              <w:rPr>
                <w:rFonts w:ascii="Arial" w:hAnsi="Arial" w:cs="Arial"/>
                <w:color w:val="010000"/>
                <w:sz w:val="20"/>
              </w:rPr>
              <w:t xml:space="preserve">: Capital source for </w:t>
            </w:r>
            <w:r w:rsidR="004703EF">
              <w:rPr>
                <w:rFonts w:ascii="Arial" w:hAnsi="Arial" w:cs="Arial"/>
                <w:color w:val="010000"/>
                <w:sz w:val="20"/>
              </w:rPr>
              <w:t>buyback</w:t>
            </w:r>
            <w:r w:rsidRPr="008D7373">
              <w:rPr>
                <w:rFonts w:ascii="Arial" w:hAnsi="Arial" w:cs="Arial"/>
                <w:color w:val="010000"/>
                <w:sz w:val="20"/>
              </w:rPr>
              <w:t xml:space="preserve"> is deducted in the following order of priority:</w:t>
            </w:r>
          </w:p>
          <w:p w14:paraId="40A9D9C6" w14:textId="77777777" w:rsidR="00153C58" w:rsidRPr="008D7373" w:rsidRDefault="004F7D05" w:rsidP="00470DC8">
            <w:pPr>
              <w:numPr>
                <w:ilvl w:val="0"/>
                <w:numId w:val="5"/>
              </w:numPr>
              <w:pBdr>
                <w:top w:val="nil"/>
                <w:left w:val="nil"/>
                <w:bottom w:val="nil"/>
                <w:right w:val="nil"/>
                <w:between w:val="nil"/>
              </w:pBdr>
              <w:tabs>
                <w:tab w:val="left" w:pos="187"/>
                <w:tab w:val="left" w:pos="360"/>
              </w:tabs>
              <w:spacing w:after="120" w:line="360" w:lineRule="auto"/>
              <w:rPr>
                <w:rFonts w:ascii="Arial" w:eastAsia="Arial" w:hAnsi="Arial" w:cs="Arial"/>
                <w:color w:val="010000"/>
                <w:sz w:val="20"/>
                <w:szCs w:val="20"/>
              </w:rPr>
            </w:pPr>
            <w:r w:rsidRPr="008D7373">
              <w:rPr>
                <w:rFonts w:ascii="Arial" w:hAnsi="Arial" w:cs="Arial"/>
                <w:color w:val="010000"/>
                <w:sz w:val="20"/>
              </w:rPr>
              <w:t>Share premium: VND52,437,300,000;</w:t>
            </w:r>
          </w:p>
          <w:p w14:paraId="4F144CC2" w14:textId="77777777" w:rsidR="00153C58" w:rsidRPr="008D7373" w:rsidRDefault="004F7D05" w:rsidP="00470DC8">
            <w:pPr>
              <w:numPr>
                <w:ilvl w:val="0"/>
                <w:numId w:val="5"/>
              </w:numPr>
              <w:pBdr>
                <w:top w:val="nil"/>
                <w:left w:val="nil"/>
                <w:bottom w:val="nil"/>
                <w:right w:val="nil"/>
                <w:between w:val="nil"/>
              </w:pBdr>
              <w:tabs>
                <w:tab w:val="left" w:pos="206"/>
                <w:tab w:val="left" w:pos="360"/>
              </w:tabs>
              <w:spacing w:after="120" w:line="360" w:lineRule="auto"/>
              <w:rPr>
                <w:rFonts w:ascii="Arial" w:eastAsia="Arial" w:hAnsi="Arial" w:cs="Arial"/>
                <w:color w:val="010000"/>
                <w:sz w:val="20"/>
                <w:szCs w:val="20"/>
              </w:rPr>
            </w:pPr>
            <w:r w:rsidRPr="008D7373">
              <w:rPr>
                <w:rFonts w:ascii="Arial" w:hAnsi="Arial" w:cs="Arial"/>
                <w:color w:val="010000"/>
                <w:sz w:val="20"/>
              </w:rPr>
              <w:t>Investment and development fund: VND23,716,973,549;</w:t>
            </w:r>
          </w:p>
          <w:p w14:paraId="58D1816C" w14:textId="77777777" w:rsidR="00153C58" w:rsidRPr="008D7373" w:rsidRDefault="004F7D05" w:rsidP="00470DC8">
            <w:pPr>
              <w:numPr>
                <w:ilvl w:val="0"/>
                <w:numId w:val="5"/>
              </w:numPr>
              <w:pBdr>
                <w:top w:val="nil"/>
                <w:left w:val="nil"/>
                <w:bottom w:val="nil"/>
                <w:right w:val="nil"/>
                <w:between w:val="nil"/>
              </w:pBdr>
              <w:tabs>
                <w:tab w:val="left" w:pos="278"/>
                <w:tab w:val="left" w:pos="360"/>
              </w:tabs>
              <w:spacing w:after="120" w:line="360" w:lineRule="auto"/>
              <w:rPr>
                <w:rFonts w:ascii="Arial" w:eastAsia="Arial" w:hAnsi="Arial" w:cs="Arial"/>
                <w:color w:val="010000"/>
                <w:sz w:val="20"/>
                <w:szCs w:val="20"/>
              </w:rPr>
            </w:pPr>
            <w:r w:rsidRPr="008D7373">
              <w:rPr>
                <w:rFonts w:ascii="Arial" w:hAnsi="Arial" w:cs="Arial"/>
                <w:color w:val="010000"/>
                <w:sz w:val="20"/>
              </w:rPr>
              <w:t>Other funds under owner’s equity: VND23,522,719,055;</w:t>
            </w:r>
          </w:p>
          <w:p w14:paraId="785EE8FE" w14:textId="77777777" w:rsidR="00153C58" w:rsidRPr="008D7373" w:rsidRDefault="004F7D05" w:rsidP="00470DC8">
            <w:pPr>
              <w:numPr>
                <w:ilvl w:val="0"/>
                <w:numId w:val="5"/>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D7373">
              <w:rPr>
                <w:rFonts w:ascii="Arial" w:hAnsi="Arial" w:cs="Arial"/>
                <w:color w:val="010000"/>
                <w:sz w:val="20"/>
              </w:rPr>
              <w:t>Undistributed profit after tax: VND17,225,735,516 (Pursuant to the Separate Financial Statements 2023 and the Audited Consolidated Financial Statements 2023)</w:t>
            </w:r>
          </w:p>
        </w:tc>
      </w:tr>
      <w:tr w:rsidR="00153C58" w:rsidRPr="008D7373" w14:paraId="2B3DD40A" w14:textId="77777777" w:rsidTr="00470DC8">
        <w:tc>
          <w:tcPr>
            <w:tcW w:w="357" w:type="pct"/>
            <w:shd w:val="clear" w:color="auto" w:fill="auto"/>
            <w:tcMar>
              <w:top w:w="0" w:type="dxa"/>
              <w:bottom w:w="0" w:type="dxa"/>
            </w:tcMar>
            <w:vAlign w:val="center"/>
          </w:tcPr>
          <w:p w14:paraId="3C1A5A9A" w14:textId="77777777" w:rsidR="00153C58" w:rsidRPr="008D7373" w:rsidRDefault="004F7D05" w:rsidP="00470DC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D7373">
              <w:rPr>
                <w:rFonts w:ascii="Arial" w:hAnsi="Arial" w:cs="Arial"/>
                <w:color w:val="010000"/>
                <w:sz w:val="20"/>
              </w:rPr>
              <w:t>3</w:t>
            </w:r>
          </w:p>
        </w:tc>
        <w:tc>
          <w:tcPr>
            <w:tcW w:w="2319" w:type="pct"/>
            <w:shd w:val="clear" w:color="auto" w:fill="auto"/>
            <w:tcMar>
              <w:top w:w="0" w:type="dxa"/>
              <w:bottom w:w="0" w:type="dxa"/>
            </w:tcMar>
            <w:vAlign w:val="center"/>
          </w:tcPr>
          <w:p w14:paraId="5A12A9D3" w14:textId="74AF2116" w:rsidR="00153C58" w:rsidRPr="008D7373" w:rsidRDefault="004F7D05" w:rsidP="00470DC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D7373">
              <w:rPr>
                <w:rFonts w:ascii="Arial" w:hAnsi="Arial" w:cs="Arial"/>
                <w:color w:val="010000"/>
                <w:sz w:val="20"/>
              </w:rPr>
              <w:t xml:space="preserve">13. Price (price range): Based on the authorization of the General Meeting of Shareholders and the market price as of the transaction, the Board of Directors approved the maximum </w:t>
            </w:r>
            <w:r w:rsidR="004703EF">
              <w:rPr>
                <w:rFonts w:ascii="Arial" w:hAnsi="Arial" w:cs="Arial"/>
                <w:color w:val="010000"/>
                <w:sz w:val="20"/>
              </w:rPr>
              <w:t>buyback</w:t>
            </w:r>
            <w:r w:rsidRPr="008D7373">
              <w:rPr>
                <w:rFonts w:ascii="Arial" w:hAnsi="Arial" w:cs="Arial"/>
                <w:color w:val="010000"/>
                <w:sz w:val="20"/>
              </w:rPr>
              <w:t xml:space="preserve"> price of VND9,968/share, ensuring compliance with regulations on determining price ranges according to the provisions of Point b, Clause 1, Article 8 of Circular 120/2020/TT-BTC of the Ministry of Finance, relevant legal documents and current securities trading regulations of the Stock Exchange.</w:t>
            </w:r>
          </w:p>
        </w:tc>
        <w:tc>
          <w:tcPr>
            <w:tcW w:w="2324" w:type="pct"/>
            <w:shd w:val="clear" w:color="auto" w:fill="auto"/>
            <w:tcMar>
              <w:top w:w="0" w:type="dxa"/>
              <w:bottom w:w="0" w:type="dxa"/>
            </w:tcMar>
            <w:vAlign w:val="center"/>
          </w:tcPr>
          <w:p w14:paraId="1909E25D" w14:textId="647625B4" w:rsidR="00153C58" w:rsidRPr="008D7373" w:rsidRDefault="004F7D05" w:rsidP="00470DC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8D7373">
              <w:rPr>
                <w:rFonts w:ascii="Arial" w:hAnsi="Arial" w:cs="Arial"/>
                <w:color w:val="010000"/>
                <w:sz w:val="20"/>
              </w:rPr>
              <w:t xml:space="preserve">13. Price (price range): Based on the authorization of the General Meeting of Shareholders and the market price as of the transaction, the Board of Directors approved the maximum </w:t>
            </w:r>
            <w:r w:rsidR="004703EF">
              <w:rPr>
                <w:rFonts w:ascii="Arial" w:hAnsi="Arial" w:cs="Arial"/>
                <w:color w:val="010000"/>
                <w:sz w:val="20"/>
              </w:rPr>
              <w:t>buyback</w:t>
            </w:r>
            <w:r w:rsidRPr="008D7373">
              <w:rPr>
                <w:rFonts w:ascii="Arial" w:hAnsi="Arial" w:cs="Arial"/>
                <w:color w:val="010000"/>
                <w:sz w:val="20"/>
              </w:rPr>
              <w:t xml:space="preserve"> price of VND14,600/share, ensuring compliance with regulations on determining price ranges according to the provisions of Point b, Clause 1, Article 8 of Circular 120/2020/TT-BTC of the Ministry of Finance, relevant legal documents and current securities trading regulations of the Stock Exchange.</w:t>
            </w:r>
          </w:p>
        </w:tc>
      </w:tr>
    </w:tbl>
    <w:p w14:paraId="7DFC5DB1" w14:textId="1960412C" w:rsidR="00153C58" w:rsidRPr="008D7373" w:rsidRDefault="004F7D05" w:rsidP="004703E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‎‎Article 2. Approve the implementation of the Company's share </w:t>
      </w:r>
      <w:r w:rsidR="004703EF">
        <w:rPr>
          <w:rFonts w:ascii="Arial" w:hAnsi="Arial" w:cs="Arial"/>
          <w:color w:val="010000"/>
          <w:sz w:val="20"/>
        </w:rPr>
        <w:t>buyback</w:t>
      </w:r>
      <w:r w:rsidRPr="008D7373">
        <w:rPr>
          <w:rFonts w:ascii="Arial" w:hAnsi="Arial" w:cs="Arial"/>
          <w:color w:val="010000"/>
          <w:sz w:val="20"/>
        </w:rPr>
        <w:t xml:space="preserve"> plan after adjustment as follows:</w:t>
      </w:r>
    </w:p>
    <w:p w14:paraId="55A35C3D" w14:textId="77777777" w:rsidR="00153C58" w:rsidRPr="008D7373" w:rsidRDefault="004F7D05" w:rsidP="004703EF">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Name of shares registered to buy: Shares of Tri Viet Asset Management Corporation Joint Stock </w:t>
      </w:r>
      <w:r w:rsidRPr="008D7373">
        <w:rPr>
          <w:rFonts w:ascii="Arial" w:hAnsi="Arial" w:cs="Arial"/>
          <w:color w:val="010000"/>
          <w:sz w:val="20"/>
        </w:rPr>
        <w:lastRenderedPageBreak/>
        <w:t>Company</w:t>
      </w:r>
    </w:p>
    <w:p w14:paraId="7716839F" w14:textId="77777777" w:rsidR="00153C58" w:rsidRPr="008D7373" w:rsidRDefault="004F7D05" w:rsidP="004703EF">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Securities type: Common shares</w:t>
      </w:r>
    </w:p>
    <w:p w14:paraId="35C46771" w14:textId="77777777" w:rsidR="00153C58" w:rsidRPr="008D7373" w:rsidRDefault="004F7D05" w:rsidP="004703EF">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Par value: VND10,000/share</w:t>
      </w:r>
    </w:p>
    <w:p w14:paraId="4AC13D7B" w14:textId="77777777" w:rsidR="00153C58" w:rsidRPr="008D7373" w:rsidRDefault="004F7D05" w:rsidP="004703EF">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Securities code: TVC</w:t>
      </w:r>
    </w:p>
    <w:p w14:paraId="726072F2" w14:textId="77777777" w:rsidR="00153C58" w:rsidRPr="008D7373" w:rsidRDefault="004F7D05" w:rsidP="004703EF">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Total treasury shares held before trading: 0 shares</w:t>
      </w:r>
    </w:p>
    <w:p w14:paraId="792690E4" w14:textId="4E56548D" w:rsidR="00153C58" w:rsidRPr="008D7373" w:rsidRDefault="004F7D05" w:rsidP="004703EF">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Most recent share </w:t>
      </w:r>
      <w:r w:rsidR="004703EF">
        <w:rPr>
          <w:rFonts w:ascii="Arial" w:hAnsi="Arial" w:cs="Arial"/>
          <w:color w:val="010000"/>
          <w:sz w:val="20"/>
        </w:rPr>
        <w:t>buyback</w:t>
      </w:r>
      <w:r w:rsidRPr="008D7373">
        <w:rPr>
          <w:rFonts w:ascii="Arial" w:hAnsi="Arial" w:cs="Arial"/>
          <w:color w:val="010000"/>
          <w:sz w:val="20"/>
        </w:rPr>
        <w:t>:</w:t>
      </w:r>
    </w:p>
    <w:p w14:paraId="57917915" w14:textId="58C0F82E" w:rsidR="00153C58" w:rsidRPr="008D7373" w:rsidRDefault="008D7373" w:rsidP="004703EF">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End</w:t>
      </w:r>
      <w:r w:rsidR="004F7D05" w:rsidRPr="008D7373">
        <w:rPr>
          <w:rFonts w:ascii="Arial" w:hAnsi="Arial" w:cs="Arial"/>
          <w:color w:val="010000"/>
          <w:sz w:val="20"/>
        </w:rPr>
        <w:t xml:space="preserve"> date of the latest share issuance: December 20, 2021 (private placement in 2021).</w:t>
      </w:r>
    </w:p>
    <w:p w14:paraId="02DEF705" w14:textId="6A55E76A" w:rsidR="00153C58" w:rsidRPr="008D7373" w:rsidRDefault="004F7D05" w:rsidP="004703EF">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Total number of shares registered for the </w:t>
      </w:r>
      <w:r w:rsidR="004703EF">
        <w:rPr>
          <w:rFonts w:ascii="Arial" w:hAnsi="Arial" w:cs="Arial"/>
          <w:color w:val="010000"/>
          <w:sz w:val="20"/>
        </w:rPr>
        <w:t>buyback</w:t>
      </w:r>
      <w:r w:rsidRPr="008D7373">
        <w:rPr>
          <w:rFonts w:ascii="Arial" w:hAnsi="Arial" w:cs="Arial"/>
          <w:color w:val="010000"/>
          <w:sz w:val="20"/>
        </w:rPr>
        <w:t>: 8,000,000 shares</w:t>
      </w:r>
    </w:p>
    <w:p w14:paraId="3EB72CDE" w14:textId="28DBBC13" w:rsidR="00153C58" w:rsidRPr="008D7373" w:rsidRDefault="004F7D05" w:rsidP="004703EF">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Purpose of the </w:t>
      </w:r>
      <w:r w:rsidR="004703EF">
        <w:rPr>
          <w:rFonts w:ascii="Arial" w:hAnsi="Arial" w:cs="Arial"/>
          <w:color w:val="010000"/>
          <w:sz w:val="20"/>
        </w:rPr>
        <w:t>buyback</w:t>
      </w:r>
      <w:r w:rsidRPr="008D7373">
        <w:rPr>
          <w:rFonts w:ascii="Arial" w:hAnsi="Arial" w:cs="Arial"/>
          <w:color w:val="010000"/>
          <w:sz w:val="20"/>
        </w:rPr>
        <w:t xml:space="preserve">: </w:t>
      </w:r>
      <w:r w:rsidR="004703EF">
        <w:rPr>
          <w:rFonts w:ascii="Arial" w:hAnsi="Arial" w:cs="Arial"/>
          <w:color w:val="010000"/>
          <w:sz w:val="20"/>
        </w:rPr>
        <w:t>repurchase</w:t>
      </w:r>
      <w:r w:rsidRPr="008D7373">
        <w:rPr>
          <w:rFonts w:ascii="Arial" w:hAnsi="Arial" w:cs="Arial"/>
          <w:color w:val="010000"/>
          <w:sz w:val="20"/>
        </w:rPr>
        <w:t xml:space="preserve"> shares to reduce </w:t>
      </w:r>
      <w:r w:rsidR="00BE7F7A" w:rsidRPr="008D7373">
        <w:rPr>
          <w:rFonts w:ascii="Arial" w:hAnsi="Arial" w:cs="Arial"/>
          <w:color w:val="010000"/>
          <w:sz w:val="20"/>
        </w:rPr>
        <w:t xml:space="preserve">the </w:t>
      </w:r>
      <w:r w:rsidRPr="008D7373">
        <w:rPr>
          <w:rFonts w:ascii="Arial" w:hAnsi="Arial" w:cs="Arial"/>
          <w:color w:val="010000"/>
          <w:sz w:val="20"/>
        </w:rPr>
        <w:t>charter capital.</w:t>
      </w:r>
    </w:p>
    <w:p w14:paraId="14412761" w14:textId="3860D751" w:rsidR="00153C58" w:rsidRPr="008D7373" w:rsidRDefault="004F7D05" w:rsidP="004703EF">
      <w:pPr>
        <w:numPr>
          <w:ilvl w:val="0"/>
          <w:numId w:val="1"/>
        </w:numPr>
        <w:pBdr>
          <w:top w:val="nil"/>
          <w:left w:val="nil"/>
          <w:bottom w:val="nil"/>
          <w:right w:val="nil"/>
          <w:between w:val="nil"/>
        </w:pBdr>
        <w:tabs>
          <w:tab w:val="left" w:pos="360"/>
          <w:tab w:val="left" w:pos="454"/>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Capital source for the </w:t>
      </w:r>
      <w:r w:rsidR="004703EF">
        <w:rPr>
          <w:rFonts w:ascii="Arial" w:hAnsi="Arial" w:cs="Arial"/>
          <w:color w:val="010000"/>
          <w:sz w:val="20"/>
        </w:rPr>
        <w:t>buyback</w:t>
      </w:r>
      <w:r w:rsidRPr="008D7373">
        <w:rPr>
          <w:rFonts w:ascii="Arial" w:hAnsi="Arial" w:cs="Arial"/>
          <w:color w:val="010000"/>
          <w:sz w:val="20"/>
        </w:rPr>
        <w:t xml:space="preserve">: </w:t>
      </w:r>
      <w:r w:rsidR="00BE7F7A" w:rsidRPr="008D7373">
        <w:rPr>
          <w:rFonts w:ascii="Arial" w:hAnsi="Arial" w:cs="Arial"/>
          <w:color w:val="010000"/>
          <w:sz w:val="20"/>
        </w:rPr>
        <w:t>The capital</w:t>
      </w:r>
      <w:r w:rsidRPr="008D7373">
        <w:rPr>
          <w:rFonts w:ascii="Arial" w:hAnsi="Arial" w:cs="Arial"/>
          <w:color w:val="010000"/>
          <w:sz w:val="20"/>
        </w:rPr>
        <w:t xml:space="preserve"> source for share </w:t>
      </w:r>
      <w:r w:rsidR="004703EF">
        <w:rPr>
          <w:rFonts w:ascii="Arial" w:hAnsi="Arial" w:cs="Arial"/>
          <w:color w:val="010000"/>
          <w:sz w:val="20"/>
        </w:rPr>
        <w:t>buyback</w:t>
      </w:r>
      <w:r w:rsidRPr="008D7373">
        <w:rPr>
          <w:rFonts w:ascii="Arial" w:hAnsi="Arial" w:cs="Arial"/>
          <w:color w:val="010000"/>
          <w:sz w:val="20"/>
        </w:rPr>
        <w:t xml:space="preserve"> is deducted in the following order of priority: </w:t>
      </w:r>
    </w:p>
    <w:p w14:paraId="22907FD8" w14:textId="77777777" w:rsidR="00153C58" w:rsidRPr="008D7373" w:rsidRDefault="004F7D05" w:rsidP="004703EF">
      <w:pPr>
        <w:numPr>
          <w:ilvl w:val="0"/>
          <w:numId w:val="2"/>
        </w:numPr>
        <w:pBdr>
          <w:top w:val="nil"/>
          <w:left w:val="nil"/>
          <w:bottom w:val="nil"/>
          <w:right w:val="nil"/>
          <w:between w:val="nil"/>
        </w:pBdr>
        <w:tabs>
          <w:tab w:val="left" w:pos="360"/>
          <w:tab w:val="left" w:pos="454"/>
        </w:tabs>
        <w:spacing w:after="120" w:line="360" w:lineRule="auto"/>
        <w:ind w:left="0" w:firstLine="0"/>
        <w:jc w:val="both"/>
        <w:rPr>
          <w:rFonts w:ascii="Arial" w:eastAsia="Arial" w:hAnsi="Arial" w:cs="Arial"/>
          <w:color w:val="010000"/>
          <w:sz w:val="20"/>
          <w:szCs w:val="20"/>
        </w:rPr>
      </w:pPr>
      <w:r w:rsidRPr="008D7373">
        <w:rPr>
          <w:rFonts w:ascii="Arial" w:hAnsi="Arial" w:cs="Arial"/>
          <w:color w:val="010000"/>
          <w:sz w:val="20"/>
        </w:rPr>
        <w:t>Share premium: VND52,437,300,000</w:t>
      </w:r>
    </w:p>
    <w:p w14:paraId="1C853F83" w14:textId="77777777" w:rsidR="00153C58" w:rsidRPr="008D7373" w:rsidRDefault="004F7D05" w:rsidP="004703EF">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7373">
        <w:rPr>
          <w:rFonts w:ascii="Arial" w:hAnsi="Arial" w:cs="Arial"/>
          <w:color w:val="010000"/>
          <w:sz w:val="20"/>
        </w:rPr>
        <w:t>Investment and development fund: VND23,716,973,549</w:t>
      </w:r>
    </w:p>
    <w:p w14:paraId="3EE2475A" w14:textId="77777777" w:rsidR="00153C58" w:rsidRPr="008D7373" w:rsidRDefault="004F7D05" w:rsidP="004703EF">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7373">
        <w:rPr>
          <w:rFonts w:ascii="Arial" w:hAnsi="Arial" w:cs="Arial"/>
          <w:color w:val="010000"/>
          <w:sz w:val="20"/>
        </w:rPr>
        <w:t>Other funds under owner's equity: VND23,522,719,055</w:t>
      </w:r>
    </w:p>
    <w:p w14:paraId="09D81B78" w14:textId="77777777" w:rsidR="00153C58" w:rsidRPr="008D7373" w:rsidRDefault="004F7D05" w:rsidP="004703EF">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D7373">
        <w:rPr>
          <w:rFonts w:ascii="Arial" w:hAnsi="Arial" w:cs="Arial"/>
          <w:color w:val="010000"/>
          <w:sz w:val="20"/>
        </w:rPr>
        <w:t>Undistributed profit after tax: VND17,225,735,516</w:t>
      </w:r>
    </w:p>
    <w:p w14:paraId="42A280EB" w14:textId="77777777" w:rsidR="00153C58" w:rsidRPr="008D7373" w:rsidRDefault="004F7D05" w:rsidP="004703E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(Pursuant to the Separate Financial Statements 2023 and the Audited Consolidated Financial Statements 2023).</w:t>
      </w:r>
    </w:p>
    <w:p w14:paraId="6F38854B" w14:textId="77777777" w:rsidR="00153C58" w:rsidRPr="008D7373" w:rsidRDefault="004F7D05" w:rsidP="004703EF">
      <w:pPr>
        <w:numPr>
          <w:ilvl w:val="0"/>
          <w:numId w:val="1"/>
        </w:numPr>
        <w:pBdr>
          <w:top w:val="nil"/>
          <w:left w:val="nil"/>
          <w:bottom w:val="nil"/>
          <w:right w:val="nil"/>
          <w:between w:val="nil"/>
        </w:pBdr>
        <w:tabs>
          <w:tab w:val="left" w:pos="360"/>
          <w:tab w:val="left" w:pos="454"/>
        </w:tabs>
        <w:spacing w:after="120" w:line="360" w:lineRule="auto"/>
        <w:jc w:val="both"/>
        <w:rPr>
          <w:rFonts w:ascii="Arial" w:eastAsia="Arial" w:hAnsi="Arial" w:cs="Arial"/>
          <w:color w:val="010000"/>
          <w:sz w:val="20"/>
          <w:szCs w:val="20"/>
        </w:rPr>
      </w:pPr>
      <w:r w:rsidRPr="008D7373">
        <w:rPr>
          <w:rFonts w:ascii="Arial" w:hAnsi="Arial" w:cs="Arial"/>
          <w:color w:val="010000"/>
          <w:sz w:val="20"/>
        </w:rPr>
        <w:t>Transaction method: Order-matching and/or put-through transaction</w:t>
      </w:r>
    </w:p>
    <w:p w14:paraId="665E8ADA" w14:textId="45B0752E" w:rsidR="00153C58" w:rsidRPr="008D7373" w:rsidRDefault="004F7D05" w:rsidP="004703EF">
      <w:pPr>
        <w:numPr>
          <w:ilvl w:val="0"/>
          <w:numId w:val="1"/>
        </w:numPr>
        <w:pBdr>
          <w:top w:val="nil"/>
          <w:left w:val="nil"/>
          <w:bottom w:val="nil"/>
          <w:right w:val="nil"/>
          <w:between w:val="nil"/>
        </w:pBdr>
        <w:tabs>
          <w:tab w:val="left" w:pos="360"/>
          <w:tab w:val="left" w:pos="459"/>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Principle of price determination: The transaction price is implemented </w:t>
      </w:r>
      <w:r w:rsidR="004703EF">
        <w:rPr>
          <w:rFonts w:ascii="Arial" w:hAnsi="Arial" w:cs="Arial"/>
          <w:color w:val="010000"/>
          <w:sz w:val="20"/>
        </w:rPr>
        <w:t>under Point b</w:t>
      </w:r>
      <w:r w:rsidRPr="008D7373">
        <w:rPr>
          <w:rFonts w:ascii="Arial" w:hAnsi="Arial" w:cs="Arial"/>
          <w:color w:val="010000"/>
          <w:sz w:val="20"/>
        </w:rPr>
        <w:t xml:space="preserve"> </w:t>
      </w:r>
      <w:r w:rsidR="004703EF">
        <w:rPr>
          <w:rFonts w:ascii="Arial" w:hAnsi="Arial" w:cs="Arial"/>
          <w:color w:val="010000"/>
          <w:sz w:val="20"/>
        </w:rPr>
        <w:t>Section 1</w:t>
      </w:r>
      <w:r w:rsidRPr="008D7373">
        <w:rPr>
          <w:rFonts w:ascii="Arial" w:hAnsi="Arial" w:cs="Arial"/>
          <w:color w:val="010000"/>
          <w:sz w:val="20"/>
        </w:rPr>
        <w:t xml:space="preserve"> Article 8 Circular 120/2020/T</w:t>
      </w:r>
      <w:r w:rsidR="004703EF">
        <w:rPr>
          <w:rFonts w:ascii="Arial" w:hAnsi="Arial" w:cs="Arial"/>
          <w:color w:val="010000"/>
          <w:sz w:val="20"/>
        </w:rPr>
        <w:t>T-BTC dated December 31, 2020 by</w:t>
      </w:r>
      <w:r w:rsidRPr="008D7373">
        <w:rPr>
          <w:rFonts w:ascii="Arial" w:hAnsi="Arial" w:cs="Arial"/>
          <w:color w:val="010000"/>
          <w:sz w:val="20"/>
        </w:rPr>
        <w:t xml:space="preserve"> the Ministry of Finance, relevant legal documents and current securities trading regulations of the Stock Exchange.</w:t>
      </w:r>
    </w:p>
    <w:p w14:paraId="5401A9BB" w14:textId="77777777" w:rsidR="00153C58" w:rsidRPr="008D7373" w:rsidRDefault="004F7D05" w:rsidP="004703E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 Accordingly: Order price ≤ Reference price + (Reference price x 50% Share price fluctuation amplitude)</w:t>
      </w:r>
    </w:p>
    <w:p w14:paraId="5ED95149" w14:textId="4CB4045B" w:rsidR="00153C58" w:rsidRPr="008D7373" w:rsidRDefault="004F7D05" w:rsidP="004703EF">
      <w:pPr>
        <w:numPr>
          <w:ilvl w:val="0"/>
          <w:numId w:val="1"/>
        </w:numPr>
        <w:pBdr>
          <w:top w:val="nil"/>
          <w:left w:val="nil"/>
          <w:bottom w:val="nil"/>
          <w:right w:val="nil"/>
          <w:between w:val="nil"/>
        </w:pBdr>
        <w:tabs>
          <w:tab w:val="left" w:pos="360"/>
          <w:tab w:val="left" w:pos="454"/>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Price (price range): Based on the authorization of the General Meeting and the market price as of the transaction, the Board of Directors approved the maximum </w:t>
      </w:r>
      <w:r w:rsidR="004703EF">
        <w:rPr>
          <w:rFonts w:ascii="Arial" w:hAnsi="Arial" w:cs="Arial"/>
          <w:color w:val="010000"/>
          <w:sz w:val="20"/>
        </w:rPr>
        <w:t>buyback</w:t>
      </w:r>
      <w:r w:rsidRPr="008D7373">
        <w:rPr>
          <w:rFonts w:ascii="Arial" w:hAnsi="Arial" w:cs="Arial"/>
          <w:color w:val="010000"/>
          <w:sz w:val="20"/>
        </w:rPr>
        <w:t xml:space="preserve"> price of VND14,600/share, ensuring compliance with regulations on determining price ranges accordin</w:t>
      </w:r>
      <w:r w:rsidR="004703EF">
        <w:rPr>
          <w:rFonts w:ascii="Arial" w:hAnsi="Arial" w:cs="Arial"/>
          <w:color w:val="010000"/>
          <w:sz w:val="20"/>
        </w:rPr>
        <w:t xml:space="preserve">g to the provisions of Point b Section 1 </w:t>
      </w:r>
      <w:r w:rsidRPr="008D7373">
        <w:rPr>
          <w:rFonts w:ascii="Arial" w:hAnsi="Arial" w:cs="Arial"/>
          <w:color w:val="010000"/>
          <w:sz w:val="20"/>
        </w:rPr>
        <w:t xml:space="preserve">Article </w:t>
      </w:r>
      <w:r w:rsidR="004703EF">
        <w:rPr>
          <w:rFonts w:ascii="Arial" w:hAnsi="Arial" w:cs="Arial"/>
          <w:color w:val="010000"/>
          <w:sz w:val="20"/>
        </w:rPr>
        <w:t>8 of Circular 120/2020/TT-BTC by</w:t>
      </w:r>
      <w:r w:rsidRPr="008D7373">
        <w:rPr>
          <w:rFonts w:ascii="Arial" w:hAnsi="Arial" w:cs="Arial"/>
          <w:color w:val="010000"/>
          <w:sz w:val="20"/>
        </w:rPr>
        <w:t xml:space="preserve"> the Ministry of Finance, relevant legal documents and current securities trading regulations of the Stock Exchange.</w:t>
      </w:r>
    </w:p>
    <w:p w14:paraId="52103C01" w14:textId="17A262EB" w:rsidR="00153C58" w:rsidRPr="008D7373" w:rsidRDefault="004F7D05" w:rsidP="004703EF">
      <w:pPr>
        <w:numPr>
          <w:ilvl w:val="0"/>
          <w:numId w:val="1"/>
        </w:numPr>
        <w:pBdr>
          <w:top w:val="nil"/>
          <w:left w:val="nil"/>
          <w:bottom w:val="nil"/>
          <w:right w:val="nil"/>
          <w:between w:val="nil"/>
        </w:pBdr>
        <w:tabs>
          <w:tab w:val="left" w:pos="360"/>
          <w:tab w:val="left" w:pos="459"/>
        </w:tabs>
        <w:spacing w:after="120" w:line="360" w:lineRule="auto"/>
        <w:jc w:val="both"/>
        <w:rPr>
          <w:rFonts w:ascii="Arial" w:eastAsia="Arial" w:hAnsi="Arial" w:cs="Arial"/>
          <w:color w:val="010000"/>
          <w:sz w:val="20"/>
          <w:szCs w:val="20"/>
        </w:rPr>
      </w:pPr>
      <w:r w:rsidRPr="008D7373">
        <w:rPr>
          <w:rFonts w:ascii="Arial" w:hAnsi="Arial" w:cs="Arial"/>
          <w:color w:val="010000"/>
          <w:sz w:val="20"/>
        </w:rPr>
        <w:t>Daily order quantity: According to the provisions of Point b</w:t>
      </w:r>
      <w:r w:rsidR="004703EF">
        <w:rPr>
          <w:rFonts w:ascii="Arial" w:hAnsi="Arial" w:cs="Arial"/>
          <w:color w:val="010000"/>
          <w:sz w:val="20"/>
        </w:rPr>
        <w:t xml:space="preserve"> Section 1 </w:t>
      </w:r>
      <w:r w:rsidRPr="008D7373">
        <w:rPr>
          <w:rFonts w:ascii="Arial" w:hAnsi="Arial" w:cs="Arial"/>
          <w:color w:val="010000"/>
          <w:sz w:val="20"/>
        </w:rPr>
        <w:t xml:space="preserve">Article </w:t>
      </w:r>
      <w:r w:rsidR="004703EF">
        <w:rPr>
          <w:rFonts w:ascii="Arial" w:hAnsi="Arial" w:cs="Arial"/>
          <w:color w:val="010000"/>
          <w:sz w:val="20"/>
        </w:rPr>
        <w:t>8 of Circular 120/2020/TT-BTC by</w:t>
      </w:r>
      <w:r w:rsidRPr="008D7373">
        <w:rPr>
          <w:rFonts w:ascii="Arial" w:hAnsi="Arial" w:cs="Arial"/>
          <w:color w:val="010000"/>
          <w:sz w:val="20"/>
        </w:rPr>
        <w:t xml:space="preserve"> the Ministry of Finance, relevant legal documents and current securities trading regulations of the Stock Exchange, specifically: On each trading day, the total order volume must be at least 3% and a maximum of 10% of the trading volume registered with the State Securities Commission (order volume does not in</w:t>
      </w:r>
      <w:r w:rsidR="004703EF">
        <w:rPr>
          <w:rFonts w:ascii="Arial" w:hAnsi="Arial" w:cs="Arial"/>
          <w:color w:val="010000"/>
          <w:sz w:val="20"/>
        </w:rPr>
        <w:t>clude order cancellation volume and</w:t>
      </w:r>
      <w:bookmarkStart w:id="0" w:name="_GoBack"/>
      <w:bookmarkEnd w:id="0"/>
      <w:r w:rsidRPr="008D7373">
        <w:rPr>
          <w:rFonts w:ascii="Arial" w:hAnsi="Arial" w:cs="Arial"/>
          <w:color w:val="010000"/>
          <w:sz w:val="20"/>
        </w:rPr>
        <w:t xml:space="preserve"> this provision is waived unless the remaining purchase volume is less than 3%).</w:t>
      </w:r>
    </w:p>
    <w:p w14:paraId="53DACE13" w14:textId="6E33509D" w:rsidR="00153C58" w:rsidRPr="008D7373" w:rsidRDefault="004F7D05" w:rsidP="004703EF">
      <w:pPr>
        <w:numPr>
          <w:ilvl w:val="0"/>
          <w:numId w:val="1"/>
        </w:numPr>
        <w:pBdr>
          <w:top w:val="nil"/>
          <w:left w:val="nil"/>
          <w:bottom w:val="nil"/>
          <w:right w:val="nil"/>
          <w:between w:val="nil"/>
        </w:pBdr>
        <w:tabs>
          <w:tab w:val="left" w:pos="360"/>
          <w:tab w:val="left" w:pos="459"/>
        </w:tabs>
        <w:spacing w:after="120" w:line="360" w:lineRule="auto"/>
        <w:jc w:val="both"/>
        <w:rPr>
          <w:rFonts w:ascii="Arial" w:eastAsia="Arial" w:hAnsi="Arial" w:cs="Arial"/>
          <w:color w:val="010000"/>
          <w:sz w:val="20"/>
          <w:szCs w:val="20"/>
        </w:rPr>
      </w:pPr>
      <w:r w:rsidRPr="008D7373">
        <w:rPr>
          <w:rFonts w:ascii="Arial" w:hAnsi="Arial" w:cs="Arial"/>
          <w:color w:val="010000"/>
          <w:sz w:val="20"/>
        </w:rPr>
        <w:lastRenderedPageBreak/>
        <w:t xml:space="preserve">Expected transaction time: It is expected to be in 2024, after being notified by the State Securities Commission of the full receipt of share </w:t>
      </w:r>
      <w:r w:rsidR="004703EF">
        <w:rPr>
          <w:rFonts w:ascii="Arial" w:hAnsi="Arial" w:cs="Arial"/>
          <w:color w:val="010000"/>
          <w:sz w:val="20"/>
        </w:rPr>
        <w:t>buyback</w:t>
      </w:r>
      <w:r w:rsidRPr="008D7373">
        <w:rPr>
          <w:rFonts w:ascii="Arial" w:hAnsi="Arial" w:cs="Arial"/>
          <w:color w:val="010000"/>
          <w:sz w:val="20"/>
        </w:rPr>
        <w:t xml:space="preserve"> report documents and after the Company has disclosed information according to regulations. Transaction time must not exceed 30 days from the beginning date of the transaction.</w:t>
      </w:r>
    </w:p>
    <w:p w14:paraId="0C209555" w14:textId="7774C24E" w:rsidR="00153C58" w:rsidRPr="008D7373" w:rsidRDefault="004F7D05" w:rsidP="004703EF">
      <w:pPr>
        <w:numPr>
          <w:ilvl w:val="0"/>
          <w:numId w:val="1"/>
        </w:numPr>
        <w:pBdr>
          <w:top w:val="nil"/>
          <w:left w:val="nil"/>
          <w:bottom w:val="nil"/>
          <w:right w:val="nil"/>
          <w:between w:val="nil"/>
        </w:pBdr>
        <w:tabs>
          <w:tab w:val="left" w:pos="360"/>
          <w:tab w:val="left" w:pos="459"/>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The Securities Company appointed as agent for the transaction of share </w:t>
      </w:r>
      <w:r w:rsidR="004703EF">
        <w:rPr>
          <w:rFonts w:ascii="Arial" w:hAnsi="Arial" w:cs="Arial"/>
          <w:color w:val="010000"/>
          <w:sz w:val="20"/>
        </w:rPr>
        <w:t>buyback</w:t>
      </w:r>
      <w:r w:rsidRPr="008D7373">
        <w:rPr>
          <w:rFonts w:ascii="Arial" w:hAnsi="Arial" w:cs="Arial"/>
          <w:color w:val="010000"/>
          <w:sz w:val="20"/>
        </w:rPr>
        <w:t>:</w:t>
      </w:r>
    </w:p>
    <w:p w14:paraId="590D9CF8" w14:textId="77777777" w:rsidR="00153C58" w:rsidRPr="008D7373" w:rsidRDefault="004F7D05" w:rsidP="004703E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Name of the Securities Company: Tri Viet Securities Joint Stock Corporation</w:t>
      </w:r>
    </w:p>
    <w:p w14:paraId="7A4BADAF" w14:textId="77777777" w:rsidR="00153C58" w:rsidRPr="008D7373" w:rsidRDefault="004F7D05" w:rsidP="004703E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Headquarters address: 2nd Floor, </w:t>
      </w:r>
      <w:r w:rsidR="00FE1F1F" w:rsidRPr="008D7373">
        <w:rPr>
          <w:rFonts w:ascii="Arial" w:hAnsi="Arial" w:cs="Arial"/>
          <w:color w:val="010000"/>
          <w:sz w:val="20"/>
        </w:rPr>
        <w:t xml:space="preserve">No. </w:t>
      </w:r>
      <w:r w:rsidRPr="008D7373">
        <w:rPr>
          <w:rFonts w:ascii="Arial" w:hAnsi="Arial" w:cs="Arial"/>
          <w:color w:val="010000"/>
          <w:sz w:val="20"/>
        </w:rPr>
        <w:t>142 Doi Can, Doi Can Ward, Ba Dinh District, Hanoi City.</w:t>
      </w:r>
    </w:p>
    <w:p w14:paraId="4452F960" w14:textId="77777777" w:rsidR="00153C58" w:rsidRPr="008D7373" w:rsidRDefault="004F7D05" w:rsidP="004703EF">
      <w:pPr>
        <w:numPr>
          <w:ilvl w:val="0"/>
          <w:numId w:val="3"/>
        </w:numPr>
        <w:pBdr>
          <w:top w:val="nil"/>
          <w:left w:val="nil"/>
          <w:bottom w:val="nil"/>
          <w:right w:val="nil"/>
          <w:between w:val="nil"/>
        </w:pBdr>
        <w:tabs>
          <w:tab w:val="left" w:pos="360"/>
          <w:tab w:val="left" w:pos="795"/>
        </w:tabs>
        <w:spacing w:after="120" w:line="360" w:lineRule="auto"/>
        <w:jc w:val="both"/>
        <w:rPr>
          <w:rFonts w:ascii="Arial" w:eastAsia="Arial" w:hAnsi="Arial" w:cs="Arial"/>
          <w:color w:val="010000"/>
          <w:sz w:val="20"/>
          <w:szCs w:val="20"/>
        </w:rPr>
      </w:pPr>
      <w:r w:rsidRPr="008D7373">
        <w:rPr>
          <w:rFonts w:ascii="Arial" w:hAnsi="Arial" w:cs="Arial"/>
          <w:color w:val="010000"/>
          <w:sz w:val="20"/>
        </w:rPr>
        <w:t>Tel: 024. 6273 2059</w:t>
      </w:r>
    </w:p>
    <w:p w14:paraId="3E35B9CF" w14:textId="77777777" w:rsidR="00153C58" w:rsidRPr="008D7373" w:rsidRDefault="004F7D05" w:rsidP="004703EF">
      <w:pPr>
        <w:numPr>
          <w:ilvl w:val="0"/>
          <w:numId w:val="3"/>
        </w:numPr>
        <w:pBdr>
          <w:top w:val="nil"/>
          <w:left w:val="nil"/>
          <w:bottom w:val="nil"/>
          <w:right w:val="nil"/>
          <w:between w:val="nil"/>
        </w:pBdr>
        <w:tabs>
          <w:tab w:val="left" w:pos="360"/>
          <w:tab w:val="left" w:pos="795"/>
        </w:tabs>
        <w:spacing w:after="120" w:line="360" w:lineRule="auto"/>
        <w:jc w:val="both"/>
        <w:rPr>
          <w:rFonts w:ascii="Arial" w:eastAsia="Arial" w:hAnsi="Arial" w:cs="Arial"/>
          <w:color w:val="010000"/>
          <w:sz w:val="20"/>
          <w:szCs w:val="20"/>
        </w:rPr>
      </w:pPr>
      <w:r w:rsidRPr="008D7373">
        <w:rPr>
          <w:rFonts w:ascii="Arial" w:hAnsi="Arial" w:cs="Arial"/>
          <w:color w:val="010000"/>
          <w:sz w:val="20"/>
        </w:rPr>
        <w:t>Transaction account: 037C156866</w:t>
      </w:r>
    </w:p>
    <w:p w14:paraId="2E25FD30" w14:textId="2BDAF0DD" w:rsidR="00153C58" w:rsidRPr="008D7373" w:rsidRDefault="004F7D05" w:rsidP="004703E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‎‎Article 3. </w:t>
      </w:r>
      <w:r w:rsidR="004703EF">
        <w:rPr>
          <w:rFonts w:ascii="Arial" w:hAnsi="Arial" w:cs="Arial"/>
          <w:color w:val="010000"/>
          <w:sz w:val="20"/>
        </w:rPr>
        <w:t>No</w:t>
      </w:r>
      <w:r w:rsidRPr="008D7373">
        <w:rPr>
          <w:rFonts w:ascii="Arial" w:hAnsi="Arial" w:cs="Arial"/>
          <w:color w:val="010000"/>
          <w:sz w:val="20"/>
        </w:rPr>
        <w:t xml:space="preserve"> share transactions by negotiation </w:t>
      </w:r>
      <w:r w:rsidR="004703EF">
        <w:rPr>
          <w:rFonts w:ascii="Arial" w:hAnsi="Arial" w:cs="Arial"/>
          <w:color w:val="010000"/>
          <w:sz w:val="20"/>
        </w:rPr>
        <w:t xml:space="preserve">are allowed </w:t>
      </w:r>
      <w:r w:rsidRPr="008D7373">
        <w:rPr>
          <w:rFonts w:ascii="Arial" w:hAnsi="Arial" w:cs="Arial"/>
          <w:color w:val="010000"/>
          <w:sz w:val="20"/>
        </w:rPr>
        <w:t xml:space="preserve">for subjects that are not allowed to </w:t>
      </w:r>
      <w:r w:rsidR="004703EF">
        <w:rPr>
          <w:rFonts w:ascii="Arial" w:hAnsi="Arial" w:cs="Arial"/>
          <w:color w:val="010000"/>
          <w:sz w:val="20"/>
        </w:rPr>
        <w:t>buyback</w:t>
      </w:r>
      <w:r w:rsidRPr="008D7373">
        <w:rPr>
          <w:rFonts w:ascii="Arial" w:hAnsi="Arial" w:cs="Arial"/>
          <w:color w:val="010000"/>
          <w:sz w:val="20"/>
        </w:rPr>
        <w:t xml:space="preserve"> according to the provisions of </w:t>
      </w:r>
      <w:r w:rsidR="004703EF">
        <w:rPr>
          <w:rFonts w:ascii="Arial" w:hAnsi="Arial" w:cs="Arial"/>
          <w:color w:val="010000"/>
          <w:sz w:val="20"/>
        </w:rPr>
        <w:t>Section 4</w:t>
      </w:r>
      <w:r w:rsidRPr="008D7373">
        <w:rPr>
          <w:rFonts w:ascii="Arial" w:hAnsi="Arial" w:cs="Arial"/>
          <w:color w:val="010000"/>
          <w:sz w:val="20"/>
        </w:rPr>
        <w:t xml:space="preserve"> Article 36 of the Law on Securities 2019. They include:</w:t>
      </w:r>
    </w:p>
    <w:p w14:paraId="026EDCC1" w14:textId="3DE749CF" w:rsidR="00153C58" w:rsidRPr="008D7373" w:rsidRDefault="004F7D05" w:rsidP="004703EF">
      <w:pPr>
        <w:numPr>
          <w:ilvl w:val="0"/>
          <w:numId w:val="3"/>
        </w:numPr>
        <w:pBdr>
          <w:top w:val="nil"/>
          <w:left w:val="nil"/>
          <w:bottom w:val="nil"/>
          <w:right w:val="nil"/>
          <w:between w:val="nil"/>
        </w:pBdr>
        <w:tabs>
          <w:tab w:val="left" w:pos="306"/>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PDMR and </w:t>
      </w:r>
      <w:r w:rsidR="004703EF">
        <w:rPr>
          <w:rFonts w:ascii="Arial" w:hAnsi="Arial" w:cs="Arial"/>
          <w:color w:val="010000"/>
          <w:sz w:val="20"/>
        </w:rPr>
        <w:t>related</w:t>
      </w:r>
      <w:r w:rsidRPr="008D7373">
        <w:rPr>
          <w:rFonts w:ascii="Arial" w:hAnsi="Arial" w:cs="Arial"/>
          <w:color w:val="010000"/>
          <w:sz w:val="20"/>
        </w:rPr>
        <w:t xml:space="preserve"> persons of PDMR </w:t>
      </w:r>
      <w:r w:rsidR="004703EF">
        <w:rPr>
          <w:rFonts w:ascii="Arial" w:hAnsi="Arial" w:cs="Arial"/>
          <w:color w:val="010000"/>
          <w:sz w:val="20"/>
        </w:rPr>
        <w:t>under</w:t>
      </w:r>
      <w:r w:rsidRPr="008D7373">
        <w:rPr>
          <w:rFonts w:ascii="Arial" w:hAnsi="Arial" w:cs="Arial"/>
          <w:color w:val="010000"/>
          <w:sz w:val="20"/>
        </w:rPr>
        <w:t xml:space="preserve"> the Law</w:t>
      </w:r>
      <w:r w:rsidR="00BE7F7A" w:rsidRPr="008D7373">
        <w:rPr>
          <w:rFonts w:ascii="Arial" w:hAnsi="Arial" w:cs="Arial"/>
          <w:color w:val="010000"/>
          <w:sz w:val="20"/>
        </w:rPr>
        <w:t xml:space="preserve"> on Securities</w:t>
      </w:r>
      <w:r w:rsidRPr="008D7373">
        <w:rPr>
          <w:rFonts w:ascii="Arial" w:hAnsi="Arial" w:cs="Arial"/>
          <w:color w:val="010000"/>
          <w:sz w:val="20"/>
        </w:rPr>
        <w:t>;</w:t>
      </w:r>
    </w:p>
    <w:p w14:paraId="72178212" w14:textId="33D0986F" w:rsidR="00153C58" w:rsidRPr="008D7373" w:rsidRDefault="004F7D05" w:rsidP="004703EF">
      <w:pPr>
        <w:numPr>
          <w:ilvl w:val="0"/>
          <w:numId w:val="3"/>
        </w:numPr>
        <w:pBdr>
          <w:top w:val="nil"/>
          <w:left w:val="nil"/>
          <w:bottom w:val="nil"/>
          <w:right w:val="nil"/>
          <w:between w:val="nil"/>
        </w:pBdr>
        <w:tabs>
          <w:tab w:val="left" w:pos="306"/>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Owners of shares that are subject to</w:t>
      </w:r>
      <w:r w:rsidR="00FE1F1F" w:rsidRPr="008D7373">
        <w:rPr>
          <w:rFonts w:ascii="Arial" w:hAnsi="Arial" w:cs="Arial"/>
          <w:color w:val="010000"/>
          <w:sz w:val="20"/>
        </w:rPr>
        <w:t xml:space="preserve"> </w:t>
      </w:r>
      <w:r w:rsidRPr="008D7373">
        <w:rPr>
          <w:rFonts w:ascii="Arial" w:hAnsi="Arial" w:cs="Arial"/>
          <w:color w:val="010000"/>
          <w:sz w:val="20"/>
        </w:rPr>
        <w:t xml:space="preserve">transfer restrictions </w:t>
      </w:r>
      <w:r w:rsidR="004703EF">
        <w:rPr>
          <w:rFonts w:ascii="Arial" w:hAnsi="Arial" w:cs="Arial"/>
          <w:color w:val="010000"/>
          <w:sz w:val="20"/>
        </w:rPr>
        <w:t>under applicable laws</w:t>
      </w:r>
      <w:r w:rsidRPr="008D7373">
        <w:rPr>
          <w:rFonts w:ascii="Arial" w:hAnsi="Arial" w:cs="Arial"/>
          <w:color w:val="010000"/>
          <w:sz w:val="20"/>
        </w:rPr>
        <w:t xml:space="preserve"> and the Company's Charter;</w:t>
      </w:r>
    </w:p>
    <w:p w14:paraId="0AE5E1F5" w14:textId="225E509B" w:rsidR="00153C58" w:rsidRPr="008D7373" w:rsidRDefault="004703EF" w:rsidP="004703EF">
      <w:pPr>
        <w:numPr>
          <w:ilvl w:val="0"/>
          <w:numId w:val="3"/>
        </w:numPr>
        <w:pBdr>
          <w:top w:val="nil"/>
          <w:left w:val="nil"/>
          <w:bottom w:val="nil"/>
          <w:right w:val="nil"/>
          <w:between w:val="nil"/>
        </w:pBdr>
        <w:tabs>
          <w:tab w:val="left" w:pos="306"/>
          <w:tab w:val="left" w:pos="360"/>
        </w:tabs>
        <w:spacing w:after="120" w:line="360" w:lineRule="auto"/>
        <w:jc w:val="both"/>
        <w:rPr>
          <w:rFonts w:ascii="Arial" w:eastAsia="Arial" w:hAnsi="Arial" w:cs="Arial"/>
          <w:color w:val="010000"/>
          <w:sz w:val="20"/>
          <w:szCs w:val="20"/>
        </w:rPr>
      </w:pPr>
      <w:r>
        <w:rPr>
          <w:rFonts w:ascii="Arial" w:hAnsi="Arial" w:cs="Arial"/>
          <w:color w:val="010000"/>
          <w:sz w:val="20"/>
        </w:rPr>
        <w:t>Principal</w:t>
      </w:r>
      <w:r w:rsidR="004F7D05" w:rsidRPr="008D7373">
        <w:rPr>
          <w:rFonts w:ascii="Arial" w:hAnsi="Arial" w:cs="Arial"/>
          <w:color w:val="010000"/>
          <w:sz w:val="20"/>
        </w:rPr>
        <w:t xml:space="preserve"> shareholders according to the provisions of the Law on Securities.</w:t>
      </w:r>
    </w:p>
    <w:p w14:paraId="301A3053" w14:textId="3BFFC596" w:rsidR="00153C58" w:rsidRPr="008D7373" w:rsidRDefault="004F7D05" w:rsidP="004703E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‎‎Article 4. Assign and authorize the Chair of the Board of Directors to implement the share </w:t>
      </w:r>
      <w:r w:rsidR="004703EF">
        <w:rPr>
          <w:rFonts w:ascii="Arial" w:hAnsi="Arial" w:cs="Arial"/>
          <w:color w:val="010000"/>
          <w:sz w:val="20"/>
        </w:rPr>
        <w:t>buyback</w:t>
      </w:r>
      <w:r w:rsidRPr="008D7373">
        <w:rPr>
          <w:rFonts w:ascii="Arial" w:hAnsi="Arial" w:cs="Arial"/>
          <w:color w:val="010000"/>
          <w:sz w:val="20"/>
        </w:rPr>
        <w:t xml:space="preserve"> plan, specifically: </w:t>
      </w:r>
    </w:p>
    <w:p w14:paraId="77BC9C18" w14:textId="20A3FFD0" w:rsidR="00153C58" w:rsidRPr="008D7373" w:rsidRDefault="004F7D05" w:rsidP="004703EF">
      <w:pPr>
        <w:numPr>
          <w:ilvl w:val="0"/>
          <w:numId w:val="3"/>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Sign dossiers and documents related to the share </w:t>
      </w:r>
      <w:r w:rsidR="004703EF">
        <w:rPr>
          <w:rFonts w:ascii="Arial" w:hAnsi="Arial" w:cs="Arial"/>
          <w:color w:val="010000"/>
          <w:sz w:val="20"/>
        </w:rPr>
        <w:t>buyback</w:t>
      </w:r>
      <w:r w:rsidRPr="008D7373">
        <w:rPr>
          <w:rFonts w:ascii="Arial" w:hAnsi="Arial" w:cs="Arial"/>
          <w:color w:val="010000"/>
          <w:sz w:val="20"/>
        </w:rPr>
        <w:t xml:space="preserve"> according to regulations;</w:t>
      </w:r>
    </w:p>
    <w:p w14:paraId="19BD2A8D" w14:textId="73497DDA" w:rsidR="00153C58" w:rsidRPr="008D7373" w:rsidRDefault="004F7D05" w:rsidP="004703EF">
      <w:pPr>
        <w:numPr>
          <w:ilvl w:val="0"/>
          <w:numId w:val="3"/>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Perform procedures for the submission of a Dossier </w:t>
      </w:r>
      <w:r w:rsidR="00BE7F7A" w:rsidRPr="008D7373">
        <w:rPr>
          <w:rFonts w:ascii="Arial" w:hAnsi="Arial" w:cs="Arial"/>
          <w:color w:val="010000"/>
          <w:sz w:val="20"/>
        </w:rPr>
        <w:t xml:space="preserve">for </w:t>
      </w:r>
      <w:r w:rsidRPr="008D7373">
        <w:rPr>
          <w:rFonts w:ascii="Arial" w:hAnsi="Arial" w:cs="Arial"/>
          <w:color w:val="010000"/>
          <w:sz w:val="20"/>
        </w:rPr>
        <w:t xml:space="preserve">Share </w:t>
      </w:r>
      <w:r w:rsidR="004703EF">
        <w:rPr>
          <w:rFonts w:ascii="Arial" w:hAnsi="Arial" w:cs="Arial"/>
          <w:color w:val="010000"/>
          <w:sz w:val="20"/>
        </w:rPr>
        <w:t>Buyback</w:t>
      </w:r>
      <w:r w:rsidRPr="008D7373">
        <w:rPr>
          <w:rFonts w:ascii="Arial" w:hAnsi="Arial" w:cs="Arial"/>
          <w:color w:val="010000"/>
          <w:sz w:val="20"/>
        </w:rPr>
        <w:t xml:space="preserve"> License to the State Securities Commission and explain related issues as required (if any);</w:t>
      </w:r>
    </w:p>
    <w:p w14:paraId="09161102" w14:textId="4A032AF5" w:rsidR="00153C58" w:rsidRPr="008D7373" w:rsidRDefault="004F7D05" w:rsidP="004703EF">
      <w:pPr>
        <w:numPr>
          <w:ilvl w:val="0"/>
          <w:numId w:val="3"/>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Amend and supplement dossiers and documents related to the share </w:t>
      </w:r>
      <w:r w:rsidR="004703EF">
        <w:rPr>
          <w:rFonts w:ascii="Arial" w:hAnsi="Arial" w:cs="Arial"/>
          <w:color w:val="010000"/>
          <w:sz w:val="20"/>
        </w:rPr>
        <w:t>buyback</w:t>
      </w:r>
      <w:r w:rsidRPr="008D7373">
        <w:rPr>
          <w:rFonts w:ascii="Arial" w:hAnsi="Arial" w:cs="Arial"/>
          <w:color w:val="010000"/>
          <w:sz w:val="20"/>
        </w:rPr>
        <w:t xml:space="preserve"> at the request of the State Securities Commission and the Hanoi Stock Exchange (if any);</w:t>
      </w:r>
    </w:p>
    <w:p w14:paraId="2E972C88" w14:textId="2CF8E223" w:rsidR="00153C58" w:rsidRPr="008D7373" w:rsidRDefault="004F7D05" w:rsidP="004703EF">
      <w:pPr>
        <w:numPr>
          <w:ilvl w:val="0"/>
          <w:numId w:val="3"/>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Perform procedures for information disclosure on the share </w:t>
      </w:r>
      <w:r w:rsidR="004703EF">
        <w:rPr>
          <w:rFonts w:ascii="Arial" w:hAnsi="Arial" w:cs="Arial"/>
          <w:color w:val="010000"/>
          <w:sz w:val="20"/>
        </w:rPr>
        <w:t>buyback</w:t>
      </w:r>
      <w:r w:rsidR="00FE1F1F" w:rsidRPr="008D7373">
        <w:rPr>
          <w:rFonts w:ascii="Arial" w:hAnsi="Arial" w:cs="Arial"/>
          <w:color w:val="010000"/>
          <w:sz w:val="20"/>
        </w:rPr>
        <w:t xml:space="preserve"> </w:t>
      </w:r>
      <w:r w:rsidRPr="008D7373">
        <w:rPr>
          <w:rFonts w:ascii="Arial" w:hAnsi="Arial" w:cs="Arial"/>
          <w:color w:val="010000"/>
          <w:sz w:val="20"/>
        </w:rPr>
        <w:t xml:space="preserve">and reporting </w:t>
      </w:r>
      <w:r w:rsidR="004703EF">
        <w:rPr>
          <w:rFonts w:ascii="Arial" w:hAnsi="Arial" w:cs="Arial"/>
          <w:color w:val="010000"/>
          <w:sz w:val="20"/>
        </w:rPr>
        <w:t>buyback</w:t>
      </w:r>
      <w:r w:rsidRPr="008D7373">
        <w:rPr>
          <w:rFonts w:ascii="Arial" w:hAnsi="Arial" w:cs="Arial"/>
          <w:color w:val="010000"/>
          <w:sz w:val="20"/>
        </w:rPr>
        <w:t xml:space="preserve"> transaction results </w:t>
      </w:r>
      <w:r w:rsidR="004703EF">
        <w:rPr>
          <w:rFonts w:ascii="Arial" w:hAnsi="Arial" w:cs="Arial"/>
          <w:color w:val="010000"/>
          <w:sz w:val="20"/>
        </w:rPr>
        <w:t>as per</w:t>
      </w:r>
      <w:r w:rsidRPr="008D7373">
        <w:rPr>
          <w:rFonts w:ascii="Arial" w:hAnsi="Arial" w:cs="Arial"/>
          <w:color w:val="010000"/>
          <w:sz w:val="20"/>
        </w:rPr>
        <w:t xml:space="preserve"> regulations;</w:t>
      </w:r>
    </w:p>
    <w:p w14:paraId="789416B9" w14:textId="1BE2E55C" w:rsidR="00153C58" w:rsidRPr="008D7373" w:rsidRDefault="004F7D05" w:rsidP="004703EF">
      <w:pPr>
        <w:numPr>
          <w:ilvl w:val="0"/>
          <w:numId w:val="3"/>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Perform procedures and tasks related to the adjustment of securities registration at Vietnam Securities Depository and Clearing Corporation and the adjustment of securities trading registration at the Stock Exchange corresponding to the results of the share </w:t>
      </w:r>
      <w:r w:rsidR="004703EF">
        <w:rPr>
          <w:rFonts w:ascii="Arial" w:hAnsi="Arial" w:cs="Arial"/>
          <w:color w:val="010000"/>
          <w:sz w:val="20"/>
        </w:rPr>
        <w:t>buyback</w:t>
      </w:r>
      <w:r w:rsidRPr="008D7373">
        <w:rPr>
          <w:rFonts w:ascii="Arial" w:hAnsi="Arial" w:cs="Arial"/>
          <w:color w:val="010000"/>
          <w:sz w:val="20"/>
        </w:rPr>
        <w:t>;</w:t>
      </w:r>
    </w:p>
    <w:p w14:paraId="6438B5AF" w14:textId="29EAEE7F" w:rsidR="00153C58" w:rsidRPr="008D7373" w:rsidRDefault="004F7D05" w:rsidP="004703EF">
      <w:pPr>
        <w:numPr>
          <w:ilvl w:val="0"/>
          <w:numId w:val="3"/>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Perform procedures related to changing the Business Registration Certificate at the Department of Planning and Investment corresponding to the results of the share </w:t>
      </w:r>
      <w:r w:rsidR="004703EF">
        <w:rPr>
          <w:rFonts w:ascii="Arial" w:hAnsi="Arial" w:cs="Arial"/>
          <w:color w:val="010000"/>
          <w:sz w:val="20"/>
        </w:rPr>
        <w:t>buyback</w:t>
      </w:r>
      <w:r w:rsidRPr="008D7373">
        <w:rPr>
          <w:rFonts w:ascii="Arial" w:hAnsi="Arial" w:cs="Arial"/>
          <w:color w:val="010000"/>
          <w:sz w:val="20"/>
        </w:rPr>
        <w:t>;</w:t>
      </w:r>
    </w:p>
    <w:p w14:paraId="6E9EEBCA" w14:textId="1E74A234" w:rsidR="00153C58" w:rsidRPr="008D7373" w:rsidRDefault="004F7D05" w:rsidP="004703EF">
      <w:pPr>
        <w:numPr>
          <w:ilvl w:val="0"/>
          <w:numId w:val="3"/>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Decide and implement all necessary issues and procedures related to the share </w:t>
      </w:r>
      <w:r w:rsidR="004703EF">
        <w:rPr>
          <w:rFonts w:ascii="Arial" w:hAnsi="Arial" w:cs="Arial"/>
          <w:color w:val="010000"/>
          <w:sz w:val="20"/>
        </w:rPr>
        <w:t>buyback</w:t>
      </w:r>
      <w:r w:rsidRPr="008D7373">
        <w:rPr>
          <w:rFonts w:ascii="Arial" w:hAnsi="Arial" w:cs="Arial"/>
          <w:color w:val="010000"/>
          <w:sz w:val="20"/>
        </w:rPr>
        <w:t xml:space="preserve"> in the most effective way for the Company and shareholders.</w:t>
      </w:r>
    </w:p>
    <w:p w14:paraId="61C88FD4" w14:textId="59C7627A" w:rsidR="00153C58" w:rsidRPr="008D7373" w:rsidRDefault="004F7D05" w:rsidP="004703E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D7373">
        <w:rPr>
          <w:rFonts w:ascii="Arial" w:hAnsi="Arial" w:cs="Arial"/>
          <w:color w:val="010000"/>
          <w:sz w:val="20"/>
        </w:rPr>
        <w:t xml:space="preserve">Article 5. This </w:t>
      </w:r>
      <w:r w:rsidR="004703EF">
        <w:rPr>
          <w:rFonts w:ascii="Arial" w:hAnsi="Arial" w:cs="Arial"/>
          <w:color w:val="010000"/>
          <w:sz w:val="20"/>
        </w:rPr>
        <w:t xml:space="preserve">Board </w:t>
      </w:r>
      <w:r w:rsidRPr="008D7373">
        <w:rPr>
          <w:rFonts w:ascii="Arial" w:hAnsi="Arial" w:cs="Arial"/>
          <w:color w:val="010000"/>
          <w:sz w:val="20"/>
        </w:rPr>
        <w:t>Resolution takes effect from the date of its signing. Mem</w:t>
      </w:r>
      <w:r w:rsidR="004703EF">
        <w:rPr>
          <w:rFonts w:ascii="Arial" w:hAnsi="Arial" w:cs="Arial"/>
          <w:color w:val="010000"/>
          <w:sz w:val="20"/>
        </w:rPr>
        <w:t xml:space="preserve">bers of the Board of Directors and Executive Board </w:t>
      </w:r>
      <w:r w:rsidRPr="008D7373">
        <w:rPr>
          <w:rFonts w:ascii="Arial" w:hAnsi="Arial" w:cs="Arial"/>
          <w:color w:val="010000"/>
          <w:sz w:val="20"/>
        </w:rPr>
        <w:t>and relevant departments and individuals are responsible for implementing this Resolution.</w:t>
      </w:r>
    </w:p>
    <w:sectPr w:rsidR="00153C58" w:rsidRPr="008D7373" w:rsidSect="00470DC8">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Arial"/>
    <w:charset w:val="00"/>
    <w:family w:val="swiss"/>
    <w:pitch w:val="variable"/>
    <w:sig w:usb0="00000001"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0FB"/>
    <w:multiLevelType w:val="multilevel"/>
    <w:tmpl w:val="FF46A42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5C7989"/>
    <w:multiLevelType w:val="multilevel"/>
    <w:tmpl w:val="C1D8149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61F3311"/>
    <w:multiLevelType w:val="multilevel"/>
    <w:tmpl w:val="418061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0B706BF"/>
    <w:multiLevelType w:val="multilevel"/>
    <w:tmpl w:val="7DB048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21D44F3"/>
    <w:multiLevelType w:val="multilevel"/>
    <w:tmpl w:val="0CDCC2AE"/>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58"/>
    <w:rsid w:val="00153C58"/>
    <w:rsid w:val="004703EF"/>
    <w:rsid w:val="00470DC8"/>
    <w:rsid w:val="004F7D05"/>
    <w:rsid w:val="006122CE"/>
    <w:rsid w:val="00755A24"/>
    <w:rsid w:val="008D7373"/>
    <w:rsid w:val="00967D4A"/>
    <w:rsid w:val="00BE7F7A"/>
    <w:rsid w:val="00FE1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FB0AD"/>
  <w15:docId w15:val="{85C7585F-FA48-4046-B583-854CA1E0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B04"/>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D597AC"/>
      <w:w w:val="8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45577"/>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0"/>
      <w:szCs w:val="4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C45577"/>
      <w:sz w:val="28"/>
      <w:szCs w:val="28"/>
      <w:u w:val="none"/>
      <w:shd w:val="clear" w:color="auto" w:fill="auto"/>
    </w:rPr>
  </w:style>
  <w:style w:type="paragraph" w:customStyle="1" w:styleId="Bodytext20">
    <w:name w:val="Body text (2)"/>
    <w:basedOn w:val="Normal"/>
    <w:link w:val="Bodytext2"/>
    <w:pPr>
      <w:jc w:val="center"/>
    </w:pPr>
    <w:rPr>
      <w:rFonts w:ascii="Arial" w:eastAsia="Arial" w:hAnsi="Arial" w:cs="Arial"/>
      <w:color w:val="D597AC"/>
      <w:w w:val="80"/>
      <w:sz w:val="18"/>
      <w:szCs w:val="18"/>
    </w:rPr>
  </w:style>
  <w:style w:type="paragraph" w:styleId="BodyText">
    <w:name w:val="Body Text"/>
    <w:basedOn w:val="Normal"/>
    <w:link w:val="BodyTextChar"/>
    <w:qFormat/>
    <w:pPr>
      <w:spacing w:line="338"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spacing w:line="250" w:lineRule="auto"/>
    </w:pPr>
    <w:rPr>
      <w:rFonts w:ascii="Arial" w:eastAsia="Arial" w:hAnsi="Arial" w:cs="Arial"/>
      <w:color w:val="C45577"/>
      <w:sz w:val="20"/>
      <w:szCs w:val="20"/>
    </w:rPr>
  </w:style>
  <w:style w:type="paragraph" w:customStyle="1" w:styleId="Bodytext40">
    <w:name w:val="Body text (4)"/>
    <w:basedOn w:val="Normal"/>
    <w:link w:val="Bodytext4"/>
    <w:pPr>
      <w:spacing w:line="286" w:lineRule="auto"/>
      <w:jc w:val="center"/>
    </w:pPr>
    <w:rPr>
      <w:rFonts w:ascii="Times New Roman" w:eastAsia="Times New Roman" w:hAnsi="Times New Roman" w:cs="Times New Roman"/>
      <w:b/>
      <w:bCs/>
      <w:sz w:val="26"/>
      <w:szCs w:val="26"/>
    </w:rPr>
  </w:style>
  <w:style w:type="paragraph" w:customStyle="1" w:styleId="Heading31">
    <w:name w:val="Heading #3"/>
    <w:basedOn w:val="Normal"/>
    <w:link w:val="Heading30"/>
    <w:pPr>
      <w:spacing w:line="338" w:lineRule="auto"/>
      <w:jc w:val="center"/>
      <w:outlineLvl w:val="2"/>
    </w:pPr>
    <w:rPr>
      <w:rFonts w:ascii="Times New Roman" w:eastAsia="Times New Roman" w:hAnsi="Times New Roman" w:cs="Times New Roman"/>
      <w:b/>
      <w:bCs/>
      <w:sz w:val="22"/>
      <w:szCs w:val="22"/>
    </w:rPr>
  </w:style>
  <w:style w:type="paragraph" w:customStyle="1" w:styleId="Tablecaption0">
    <w:name w:val="Table caption"/>
    <w:basedOn w:val="Normal"/>
    <w:link w:val="Tablecaption"/>
    <w:pPr>
      <w:spacing w:line="341" w:lineRule="auto"/>
    </w:pPr>
    <w:rPr>
      <w:rFonts w:ascii="Times New Roman" w:eastAsia="Times New Roman" w:hAnsi="Times New Roman" w:cs="Times New Roman"/>
      <w:sz w:val="22"/>
      <w:szCs w:val="22"/>
    </w:rPr>
  </w:style>
  <w:style w:type="paragraph" w:customStyle="1" w:styleId="Other0">
    <w:name w:val="Other"/>
    <w:basedOn w:val="Normal"/>
    <w:link w:val="Other"/>
    <w:pPr>
      <w:spacing w:line="338" w:lineRule="auto"/>
    </w:pPr>
    <w:rPr>
      <w:rFonts w:ascii="Times New Roman" w:eastAsia="Times New Roman" w:hAnsi="Times New Roman" w:cs="Times New Roman"/>
      <w:sz w:val="22"/>
      <w:szCs w:val="22"/>
    </w:rPr>
  </w:style>
  <w:style w:type="paragraph" w:customStyle="1" w:styleId="Tableofcontents0">
    <w:name w:val="Table of contents"/>
    <w:basedOn w:val="Normal"/>
    <w:link w:val="Tableofcontents"/>
    <w:pPr>
      <w:spacing w:line="329" w:lineRule="auto"/>
      <w:ind w:firstLine="380"/>
    </w:pPr>
    <w:rPr>
      <w:rFonts w:ascii="Times New Roman" w:eastAsia="Times New Roman" w:hAnsi="Times New Roman" w:cs="Times New Roman"/>
      <w:sz w:val="22"/>
      <w:szCs w:val="22"/>
    </w:rPr>
  </w:style>
  <w:style w:type="paragraph" w:customStyle="1" w:styleId="Heading11">
    <w:name w:val="Heading #1"/>
    <w:basedOn w:val="Normal"/>
    <w:link w:val="Heading10"/>
    <w:pPr>
      <w:spacing w:line="180" w:lineRule="auto"/>
      <w:jc w:val="right"/>
      <w:outlineLvl w:val="0"/>
    </w:pPr>
    <w:rPr>
      <w:rFonts w:ascii="Arial" w:eastAsia="Arial" w:hAnsi="Arial" w:cs="Arial"/>
      <w:sz w:val="40"/>
      <w:szCs w:val="40"/>
    </w:rPr>
  </w:style>
  <w:style w:type="paragraph" w:customStyle="1" w:styleId="Heading21">
    <w:name w:val="Heading #2"/>
    <w:basedOn w:val="Normal"/>
    <w:link w:val="Heading20"/>
    <w:pPr>
      <w:jc w:val="right"/>
      <w:outlineLvl w:val="1"/>
    </w:pPr>
    <w:rPr>
      <w:rFonts w:ascii="Times New Roman" w:eastAsia="Times New Roman" w:hAnsi="Times New Roman" w:cs="Times New Roman"/>
      <w:color w:val="C45577"/>
      <w:sz w:val="28"/>
      <w:szCs w:val="28"/>
    </w:rPr>
  </w:style>
  <w:style w:type="paragraph" w:styleId="NormalWeb">
    <w:name w:val="Normal (Web)"/>
    <w:basedOn w:val="Normal"/>
    <w:uiPriority w:val="99"/>
    <w:unhideWhenUsed/>
    <w:rsid w:val="00DD03AC"/>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BSWHMsjj+XQ+6HZqPMf6uc9aeg==">CgMxLjA4AHIhMUNRT1BsM3BTeGlqWEswYVhHRzRMYjNzRkIzTzBMVTVC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2024-06-26T03:45:00Z</dcterms:created>
  <dcterms:modified xsi:type="dcterms:W3CDTF">2024-06-26T03:45:00Z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100760aeb3a42b599ecf10ebaf909c05e6da783e3c19b43006bc54744fb3df30</vt:lpwstr>
  </property>
</Properties>
</file>