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32160" w14:textId="77777777" w:rsidR="003C5A95" w:rsidRPr="00C742F2" w:rsidRDefault="00BA4B4E" w:rsidP="006B49D2">
      <w:pP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C742F2">
        <w:rPr>
          <w:rFonts w:ascii="Arial" w:hAnsi="Arial" w:cs="Arial"/>
          <w:b/>
          <w:color w:val="010000"/>
          <w:sz w:val="20"/>
        </w:rPr>
        <w:t>BMS: Report on result of share issuance</w:t>
      </w:r>
    </w:p>
    <w:p w14:paraId="07D42A95" w14:textId="77777777" w:rsidR="003C5A95" w:rsidRPr="00C742F2" w:rsidRDefault="00BA4B4E" w:rsidP="006B49D2">
      <w:p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742F2">
        <w:rPr>
          <w:rFonts w:ascii="Arial" w:hAnsi="Arial" w:cs="Arial"/>
          <w:color w:val="010000"/>
          <w:sz w:val="20"/>
        </w:rPr>
        <w:t xml:space="preserve">On June 24, 2024, </w:t>
      </w:r>
      <w:proofErr w:type="spellStart"/>
      <w:r w:rsidRPr="00C742F2">
        <w:rPr>
          <w:rFonts w:ascii="Arial" w:hAnsi="Arial" w:cs="Arial"/>
          <w:color w:val="010000"/>
          <w:sz w:val="20"/>
        </w:rPr>
        <w:t>Bao</w:t>
      </w:r>
      <w:proofErr w:type="spellEnd"/>
      <w:r w:rsidRPr="00C742F2">
        <w:rPr>
          <w:rFonts w:ascii="Arial" w:hAnsi="Arial" w:cs="Arial"/>
          <w:color w:val="010000"/>
          <w:sz w:val="20"/>
        </w:rPr>
        <w:t xml:space="preserve"> Minh Securities Company announced Report </w:t>
      </w:r>
      <w:r w:rsidR="006C4952" w:rsidRPr="00C742F2">
        <w:rPr>
          <w:rFonts w:ascii="Arial" w:hAnsi="Arial" w:cs="Arial"/>
          <w:color w:val="010000"/>
          <w:sz w:val="20"/>
        </w:rPr>
        <w:t xml:space="preserve">No. </w:t>
      </w:r>
      <w:r w:rsidRPr="00C742F2">
        <w:rPr>
          <w:rFonts w:ascii="Arial" w:hAnsi="Arial" w:cs="Arial"/>
          <w:color w:val="010000"/>
          <w:sz w:val="20"/>
        </w:rPr>
        <w:t xml:space="preserve">104/2024-BMSC/BCKQPH </w:t>
      </w:r>
      <w:r w:rsidR="002A7148" w:rsidRPr="00C742F2">
        <w:rPr>
          <w:rFonts w:ascii="Arial" w:hAnsi="Arial" w:cs="Arial"/>
          <w:color w:val="010000"/>
          <w:sz w:val="20"/>
        </w:rPr>
        <w:t xml:space="preserve">on the results of the share issuance to pay dividends </w:t>
      </w:r>
      <w:r w:rsidRPr="00C742F2">
        <w:rPr>
          <w:rFonts w:ascii="Arial" w:hAnsi="Arial" w:cs="Arial"/>
          <w:color w:val="010000"/>
          <w:sz w:val="20"/>
        </w:rPr>
        <w:t xml:space="preserve">as follows: </w:t>
      </w:r>
    </w:p>
    <w:p w14:paraId="71724D46" w14:textId="77777777" w:rsidR="003C5A95" w:rsidRPr="00C742F2" w:rsidRDefault="00BA4B4E" w:rsidP="006B49D2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742F2">
        <w:rPr>
          <w:rFonts w:ascii="Arial" w:hAnsi="Arial" w:cs="Arial"/>
          <w:color w:val="010000"/>
          <w:sz w:val="20"/>
        </w:rPr>
        <w:t>Issuance plan</w:t>
      </w:r>
    </w:p>
    <w:p w14:paraId="490B6AA5" w14:textId="77777777" w:rsidR="003C5A95" w:rsidRPr="00C742F2" w:rsidRDefault="00BA4B4E" w:rsidP="006B49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742F2">
        <w:rPr>
          <w:rFonts w:ascii="Arial" w:hAnsi="Arial" w:cs="Arial"/>
          <w:color w:val="010000"/>
          <w:sz w:val="20"/>
        </w:rPr>
        <w:t xml:space="preserve">Share name: Shares of </w:t>
      </w:r>
      <w:proofErr w:type="spellStart"/>
      <w:r w:rsidRPr="00C742F2">
        <w:rPr>
          <w:rFonts w:ascii="Arial" w:hAnsi="Arial" w:cs="Arial"/>
          <w:color w:val="010000"/>
          <w:sz w:val="20"/>
        </w:rPr>
        <w:t>Bao</w:t>
      </w:r>
      <w:proofErr w:type="spellEnd"/>
      <w:r w:rsidRPr="00C742F2">
        <w:rPr>
          <w:rFonts w:ascii="Arial" w:hAnsi="Arial" w:cs="Arial"/>
          <w:color w:val="010000"/>
          <w:sz w:val="20"/>
        </w:rPr>
        <w:t xml:space="preserve"> Minh Securities Company.</w:t>
      </w:r>
    </w:p>
    <w:p w14:paraId="56070B4A" w14:textId="77777777" w:rsidR="003C5A95" w:rsidRPr="00C742F2" w:rsidRDefault="00BA4B4E" w:rsidP="006B49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742F2">
        <w:rPr>
          <w:rFonts w:ascii="Arial" w:hAnsi="Arial" w:cs="Arial"/>
          <w:color w:val="010000"/>
          <w:sz w:val="20"/>
        </w:rPr>
        <w:t>Share type: Common share.</w:t>
      </w:r>
    </w:p>
    <w:p w14:paraId="6748FD6E" w14:textId="77777777" w:rsidR="003C5A95" w:rsidRPr="00C742F2" w:rsidRDefault="00BA4B4E" w:rsidP="006B49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742F2">
        <w:rPr>
          <w:rFonts w:ascii="Arial" w:hAnsi="Arial" w:cs="Arial"/>
          <w:color w:val="010000"/>
          <w:sz w:val="20"/>
        </w:rPr>
        <w:t>Number of shares before the issuance:</w:t>
      </w:r>
    </w:p>
    <w:p w14:paraId="762F6636" w14:textId="77777777" w:rsidR="003C5A95" w:rsidRPr="00C742F2" w:rsidRDefault="00BA4B4E" w:rsidP="006B49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42F2">
        <w:rPr>
          <w:rFonts w:ascii="Arial" w:hAnsi="Arial" w:cs="Arial"/>
          <w:color w:val="010000"/>
          <w:sz w:val="20"/>
        </w:rPr>
        <w:t>Total number of issued shares: 64,647,613 shares.</w:t>
      </w:r>
    </w:p>
    <w:p w14:paraId="13710C1F" w14:textId="77777777" w:rsidR="003C5A95" w:rsidRPr="00C742F2" w:rsidRDefault="00BA4B4E" w:rsidP="006B49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742F2">
        <w:rPr>
          <w:rFonts w:ascii="Arial" w:hAnsi="Arial" w:cs="Arial"/>
          <w:color w:val="010000"/>
          <w:sz w:val="20"/>
        </w:rPr>
        <w:t>Number of outstanding shares: 64,647,613 shares.</w:t>
      </w:r>
    </w:p>
    <w:p w14:paraId="72EAC751" w14:textId="77777777" w:rsidR="003C5A95" w:rsidRPr="00C742F2" w:rsidRDefault="00BA4B4E" w:rsidP="006B49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42F2">
        <w:rPr>
          <w:rFonts w:ascii="Arial" w:hAnsi="Arial" w:cs="Arial"/>
          <w:color w:val="010000"/>
          <w:sz w:val="20"/>
        </w:rPr>
        <w:t>Number of treasury shares: 0 shares.</w:t>
      </w:r>
    </w:p>
    <w:p w14:paraId="33ED6843" w14:textId="77777777" w:rsidR="003C5A95" w:rsidRPr="00C742F2" w:rsidRDefault="00BA4B4E" w:rsidP="006B49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742F2">
        <w:rPr>
          <w:rFonts w:ascii="Arial" w:hAnsi="Arial" w:cs="Arial"/>
          <w:color w:val="010000"/>
          <w:sz w:val="20"/>
        </w:rPr>
        <w:t>Number of shares expected to be issued: 6,464,761 shares.</w:t>
      </w:r>
    </w:p>
    <w:p w14:paraId="35C5934E" w14:textId="7B2FC576" w:rsidR="003C5A95" w:rsidRPr="00C742F2" w:rsidRDefault="00BA4B4E" w:rsidP="006B49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42F2">
        <w:rPr>
          <w:rFonts w:ascii="Arial" w:hAnsi="Arial" w:cs="Arial"/>
          <w:color w:val="010000"/>
          <w:sz w:val="20"/>
        </w:rPr>
        <w:t>Right</w:t>
      </w:r>
      <w:r w:rsidR="00A77D45">
        <w:rPr>
          <w:rFonts w:ascii="Arial" w:hAnsi="Arial" w:cs="Arial"/>
          <w:color w:val="010000"/>
          <w:sz w:val="20"/>
        </w:rPr>
        <w:t>s</w:t>
      </w:r>
      <w:r w:rsidRPr="00C742F2">
        <w:rPr>
          <w:rFonts w:ascii="Arial" w:hAnsi="Arial" w:cs="Arial"/>
          <w:color w:val="010000"/>
          <w:sz w:val="20"/>
        </w:rPr>
        <w:t xml:space="preserve"> exercise rate: 10:1 (at the record date for the list of shareholders to exercise rights, for every share they own, shareholders will receive 01 right.</w:t>
      </w:r>
      <w:r w:rsidR="006C4952" w:rsidRPr="00C742F2">
        <w:rPr>
          <w:rFonts w:ascii="Arial" w:hAnsi="Arial" w:cs="Arial"/>
          <w:color w:val="010000"/>
          <w:sz w:val="20"/>
        </w:rPr>
        <w:t xml:space="preserve"> </w:t>
      </w:r>
      <w:r w:rsidRPr="00C742F2">
        <w:rPr>
          <w:rFonts w:ascii="Arial" w:hAnsi="Arial" w:cs="Arial"/>
          <w:color w:val="010000"/>
          <w:sz w:val="20"/>
        </w:rPr>
        <w:t>For 10 rights to receive additional shares, shareholder</w:t>
      </w:r>
      <w:r w:rsidR="002A7148" w:rsidRPr="00C742F2">
        <w:rPr>
          <w:rFonts w:ascii="Arial" w:hAnsi="Arial" w:cs="Arial"/>
          <w:color w:val="010000"/>
          <w:sz w:val="20"/>
        </w:rPr>
        <w:t>s</w:t>
      </w:r>
      <w:r w:rsidRPr="00C742F2">
        <w:rPr>
          <w:rFonts w:ascii="Arial" w:hAnsi="Arial" w:cs="Arial"/>
          <w:color w:val="010000"/>
          <w:sz w:val="20"/>
        </w:rPr>
        <w:t xml:space="preserve"> will be given 01 new share).</w:t>
      </w:r>
    </w:p>
    <w:p w14:paraId="77B0DD51" w14:textId="77777777" w:rsidR="003C5A95" w:rsidRPr="00C742F2" w:rsidRDefault="00BA4B4E" w:rsidP="006B49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42F2">
        <w:rPr>
          <w:rFonts w:ascii="Arial" w:hAnsi="Arial" w:cs="Arial"/>
          <w:color w:val="010000"/>
          <w:sz w:val="20"/>
        </w:rPr>
        <w:t xml:space="preserve">Capital source for the issuance: Undistributed profit after tax based on the Audited Financial Statements 2023 of </w:t>
      </w:r>
      <w:proofErr w:type="spellStart"/>
      <w:r w:rsidRPr="00C742F2">
        <w:rPr>
          <w:rFonts w:ascii="Arial" w:hAnsi="Arial" w:cs="Arial"/>
          <w:color w:val="010000"/>
          <w:sz w:val="20"/>
        </w:rPr>
        <w:t>Bao</w:t>
      </w:r>
      <w:proofErr w:type="spellEnd"/>
      <w:r w:rsidRPr="00C742F2">
        <w:rPr>
          <w:rFonts w:ascii="Arial" w:hAnsi="Arial" w:cs="Arial"/>
          <w:color w:val="010000"/>
          <w:sz w:val="20"/>
        </w:rPr>
        <w:t xml:space="preserve"> Minh Securities Company.</w:t>
      </w:r>
    </w:p>
    <w:p w14:paraId="57275F4A" w14:textId="77777777" w:rsidR="003C5A95" w:rsidRPr="00C742F2" w:rsidRDefault="00BA4B4E" w:rsidP="006B49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42F2">
        <w:rPr>
          <w:rFonts w:ascii="Arial" w:hAnsi="Arial" w:cs="Arial"/>
          <w:color w:val="010000"/>
          <w:sz w:val="20"/>
        </w:rPr>
        <w:t xml:space="preserve">Plan on handling fractional shares and fraction of shares: The number of additional shares for </w:t>
      </w:r>
      <w:proofErr w:type="gramStart"/>
      <w:r w:rsidRPr="00C742F2">
        <w:rPr>
          <w:rFonts w:ascii="Arial" w:hAnsi="Arial" w:cs="Arial"/>
          <w:color w:val="010000"/>
          <w:sz w:val="20"/>
        </w:rPr>
        <w:t>dividend</w:t>
      </w:r>
      <w:proofErr w:type="gramEnd"/>
      <w:r w:rsidRPr="00C742F2">
        <w:rPr>
          <w:rFonts w:ascii="Arial" w:hAnsi="Arial" w:cs="Arial"/>
          <w:color w:val="010000"/>
          <w:sz w:val="20"/>
        </w:rPr>
        <w:t xml:space="preserve"> payment will be rounded down to the unit. The number of fractional shares arising (if any) due to rounding down will be canceled.</w:t>
      </w:r>
    </w:p>
    <w:p w14:paraId="1C7F8542" w14:textId="77777777" w:rsidR="003C5A95" w:rsidRPr="0058691C" w:rsidRDefault="00BA4B4E" w:rsidP="006B49D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i/>
          <w:color w:val="010000"/>
          <w:sz w:val="20"/>
          <w:szCs w:val="20"/>
        </w:rPr>
      </w:pPr>
      <w:bookmarkStart w:id="0" w:name="_GoBack"/>
      <w:r w:rsidRPr="0058691C">
        <w:rPr>
          <w:rFonts w:ascii="Arial" w:hAnsi="Arial" w:cs="Arial"/>
          <w:i/>
          <w:color w:val="010000"/>
          <w:sz w:val="20"/>
        </w:rPr>
        <w:t>For example: On the record date for the list of shareholders, shareholder A owns 128 shares. Then the number of shares received by shareholder A will be 12.8 shares.</w:t>
      </w:r>
      <w:r w:rsidR="006C4952" w:rsidRPr="0058691C">
        <w:rPr>
          <w:rFonts w:ascii="Arial" w:hAnsi="Arial" w:cs="Arial"/>
          <w:i/>
          <w:color w:val="010000"/>
          <w:sz w:val="20"/>
        </w:rPr>
        <w:t xml:space="preserve"> </w:t>
      </w:r>
      <w:r w:rsidRPr="0058691C">
        <w:rPr>
          <w:rFonts w:ascii="Arial" w:hAnsi="Arial" w:cs="Arial"/>
          <w:i/>
          <w:color w:val="010000"/>
          <w:sz w:val="20"/>
        </w:rPr>
        <w:t>After rounding down to the unit, the actual number of shares shareholder A will receive is 12 shares. The fractional part of 0.8 shares will be canceled.</w:t>
      </w:r>
    </w:p>
    <w:bookmarkEnd w:id="0"/>
    <w:p w14:paraId="6327F39D" w14:textId="77777777" w:rsidR="003C5A95" w:rsidRPr="00C742F2" w:rsidRDefault="00BA4B4E" w:rsidP="006B49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742F2">
        <w:rPr>
          <w:rFonts w:ascii="Arial" w:hAnsi="Arial" w:cs="Arial"/>
          <w:color w:val="010000"/>
          <w:sz w:val="20"/>
        </w:rPr>
        <w:t>Issuance completion date: June 19, 2024</w:t>
      </w:r>
    </w:p>
    <w:p w14:paraId="0EB9C88C" w14:textId="77777777" w:rsidR="003C5A95" w:rsidRPr="00C742F2" w:rsidRDefault="00BA4B4E" w:rsidP="006B49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742F2">
        <w:rPr>
          <w:rFonts w:ascii="Arial" w:hAnsi="Arial" w:cs="Arial"/>
          <w:color w:val="010000"/>
          <w:sz w:val="20"/>
        </w:rPr>
        <w:t xml:space="preserve">Expected date of share transfer: July 2024. </w:t>
      </w:r>
    </w:p>
    <w:p w14:paraId="084F55AA" w14:textId="77777777" w:rsidR="003C5A95" w:rsidRPr="00C742F2" w:rsidRDefault="00BA4B4E" w:rsidP="006B49D2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742F2">
        <w:rPr>
          <w:rFonts w:ascii="Arial" w:hAnsi="Arial" w:cs="Arial"/>
          <w:color w:val="010000"/>
          <w:sz w:val="20"/>
        </w:rPr>
        <w:t>Share issuance results</w:t>
      </w:r>
    </w:p>
    <w:p w14:paraId="66961413" w14:textId="77777777" w:rsidR="003C5A95" w:rsidRPr="00C742F2" w:rsidRDefault="00BA4B4E" w:rsidP="006B49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742F2">
        <w:rPr>
          <w:rFonts w:ascii="Arial" w:hAnsi="Arial" w:cs="Arial"/>
          <w:color w:val="010000"/>
          <w:sz w:val="20"/>
        </w:rPr>
        <w:t>Total number of distributed shares: 6,464,761 shares, of which:</w:t>
      </w:r>
    </w:p>
    <w:p w14:paraId="268D1B62" w14:textId="77777777" w:rsidR="003C5A95" w:rsidRPr="00C742F2" w:rsidRDefault="00BA4B4E" w:rsidP="006B49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3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742F2">
        <w:rPr>
          <w:rFonts w:ascii="Arial" w:hAnsi="Arial" w:cs="Arial"/>
          <w:color w:val="010000"/>
          <w:sz w:val="20"/>
        </w:rPr>
        <w:t>Number of shares distributed to shareholders according to the rate: 6,463,812 shares for 3,251 shareholders;</w:t>
      </w:r>
    </w:p>
    <w:p w14:paraId="0E604975" w14:textId="77777777" w:rsidR="003C5A95" w:rsidRPr="00C742F2" w:rsidRDefault="00BA4B4E" w:rsidP="006B49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38"/>
          <w:tab w:val="left" w:pos="959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742F2">
        <w:rPr>
          <w:rFonts w:ascii="Arial" w:hAnsi="Arial" w:cs="Arial"/>
          <w:color w:val="010000"/>
          <w:sz w:val="20"/>
        </w:rPr>
        <w:t>Number of fractional shares handled: 949 shares.</w:t>
      </w:r>
    </w:p>
    <w:p w14:paraId="1EEED297" w14:textId="77777777" w:rsidR="003C5A95" w:rsidRPr="00C742F2" w:rsidRDefault="00BA4B4E" w:rsidP="006B49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742F2">
        <w:rPr>
          <w:rFonts w:ascii="Arial" w:hAnsi="Arial" w:cs="Arial"/>
          <w:color w:val="010000"/>
          <w:sz w:val="20"/>
        </w:rPr>
        <w:t>Total number of share after the issuance (on June 19, 2024): 71,111,425 shares, of which:</w:t>
      </w:r>
    </w:p>
    <w:p w14:paraId="4B11B077" w14:textId="77777777" w:rsidR="003C5A95" w:rsidRPr="00C742F2" w:rsidRDefault="00BA4B4E" w:rsidP="006B49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3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742F2">
        <w:rPr>
          <w:rFonts w:ascii="Arial" w:hAnsi="Arial" w:cs="Arial"/>
          <w:color w:val="010000"/>
          <w:sz w:val="20"/>
        </w:rPr>
        <w:t>Number of outstanding shares: 71,111,425 shares;</w:t>
      </w:r>
    </w:p>
    <w:p w14:paraId="00AB9542" w14:textId="77777777" w:rsidR="003C5A95" w:rsidRPr="00C742F2" w:rsidRDefault="00BA4B4E" w:rsidP="006B49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3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742F2">
        <w:rPr>
          <w:rFonts w:ascii="Arial" w:hAnsi="Arial" w:cs="Arial"/>
          <w:color w:val="010000"/>
          <w:sz w:val="20"/>
        </w:rPr>
        <w:t>Number of treasury shares: 0 shares.</w:t>
      </w:r>
    </w:p>
    <w:sectPr w:rsidR="003C5A95" w:rsidRPr="00C742F2" w:rsidSect="006B49D2">
      <w:footerReference w:type="default" r:id="rId8"/>
      <w:pgSz w:w="11900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08980" w14:textId="77777777" w:rsidR="005C3A9A" w:rsidRDefault="005C3A9A">
      <w:r>
        <w:separator/>
      </w:r>
    </w:p>
  </w:endnote>
  <w:endnote w:type="continuationSeparator" w:id="0">
    <w:p w14:paraId="639F1608" w14:textId="77777777" w:rsidR="005C3A9A" w:rsidRDefault="005C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0E5D1" w14:textId="77777777" w:rsidR="003C5A95" w:rsidRDefault="00BA4B4E">
    <w:pPr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591AC795" wp14:editId="7367967D">
              <wp:simplePos x="0" y="0"/>
              <wp:positionH relativeFrom="column">
                <wp:posOffset>3225800</wp:posOffset>
              </wp:positionH>
              <wp:positionV relativeFrom="paragraph">
                <wp:posOffset>10388600</wp:posOffset>
              </wp:positionV>
              <wp:extent cx="40005" cy="9207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0760" y="3738725"/>
                        <a:ext cx="30480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0520CF" w14:textId="77777777" w:rsidR="003C5A95" w:rsidRDefault="003C5A9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6" style="position:absolute;margin-left:254pt;margin-top:818pt;width:3.15pt;height:7.2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" filled="f" stroked="f">
              <v:textbox inset="0,0,0,0">
                <w:txbxContent>
                  <w:p w:rsidR="003C5A95" w:rsidRDefault="003C5A95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2A02F" w14:textId="77777777" w:rsidR="005C3A9A" w:rsidRDefault="005C3A9A">
      <w:r>
        <w:separator/>
      </w:r>
    </w:p>
  </w:footnote>
  <w:footnote w:type="continuationSeparator" w:id="0">
    <w:p w14:paraId="20C554AB" w14:textId="77777777" w:rsidR="005C3A9A" w:rsidRDefault="005C3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25E91"/>
    <w:multiLevelType w:val="multilevel"/>
    <w:tmpl w:val="530AF70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23E4CE3"/>
    <w:multiLevelType w:val="multilevel"/>
    <w:tmpl w:val="CDE0BA9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A587A97"/>
    <w:multiLevelType w:val="multilevel"/>
    <w:tmpl w:val="6CA0D28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A0324B5"/>
    <w:multiLevelType w:val="multilevel"/>
    <w:tmpl w:val="EDB27B8C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95"/>
    <w:rsid w:val="001A7542"/>
    <w:rsid w:val="002A7148"/>
    <w:rsid w:val="003C5A95"/>
    <w:rsid w:val="0058691C"/>
    <w:rsid w:val="005C3A9A"/>
    <w:rsid w:val="006B49D2"/>
    <w:rsid w:val="006C4952"/>
    <w:rsid w:val="008345C7"/>
    <w:rsid w:val="00A77D45"/>
    <w:rsid w:val="00B07F94"/>
    <w:rsid w:val="00BA4B4E"/>
    <w:rsid w:val="00C742F2"/>
    <w:rsid w:val="00CB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F00BBC"/>
  <w15:docId w15:val="{C412F97B-0038-4900-8E4C-9CC61931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utranghocchntrang2">
    <w:name w:val="Đầu trang hoặc chân trang (2)_"/>
    <w:basedOn w:val="DefaultParagraphFont"/>
    <w:link w:val="utranghocchntra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C64C5F"/>
      <w:sz w:val="22"/>
      <w:szCs w:val="22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02" w:lineRule="auto"/>
    </w:pPr>
    <w:rPr>
      <w:rFonts w:ascii="Arial" w:eastAsia="Arial" w:hAnsi="Arial" w:cs="Arial"/>
      <w:sz w:val="8"/>
      <w:szCs w:val="8"/>
    </w:rPr>
  </w:style>
  <w:style w:type="paragraph" w:customStyle="1" w:styleId="utranghocchntrang20">
    <w:name w:val="Đầu trang hoặc chân trang (2)"/>
    <w:basedOn w:val="Normal"/>
    <w:link w:val="utranghocchntrang2"/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spacing w:after="100" w:line="314" w:lineRule="auto"/>
    </w:pPr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Normal"/>
    <w:link w:val="Tiu1"/>
    <w:pPr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iu20">
    <w:name w:val="Tiêu đề #2"/>
    <w:basedOn w:val="Normal"/>
    <w:link w:val="Tiu2"/>
    <w:pPr>
      <w:spacing w:after="130" w:line="276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Vnbnnidung30">
    <w:name w:val="Văn bản nội dung (3)"/>
    <w:basedOn w:val="Normal"/>
    <w:link w:val="Vnbnnidung3"/>
    <w:pPr>
      <w:spacing w:after="40" w:line="209" w:lineRule="auto"/>
      <w:jc w:val="right"/>
    </w:pPr>
    <w:rPr>
      <w:rFonts w:ascii="Arial" w:eastAsia="Arial" w:hAnsi="Arial" w:cs="Arial"/>
      <w:color w:val="C64C5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2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20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2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200"/>
    <w:rPr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zUVE5vlG7GmKwNzkemZBnaORsQ==">CgMxLjA4AHIhMVo1WTdTdjRVcVdIbVNVZnNQeEpmcmR4YnJIREJ3M082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1645</Characters>
  <Application>Microsoft Office Word</Application>
  <DocSecurity>0</DocSecurity>
  <Lines>32</Lines>
  <Paragraphs>26</Paragraphs>
  <ScaleCrop>false</ScaleCrop>
  <Company>Microsoft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10</cp:revision>
  <dcterms:created xsi:type="dcterms:W3CDTF">2024-06-26T03:43:00Z</dcterms:created>
  <dcterms:modified xsi:type="dcterms:W3CDTF">2024-06-27T04:13:00Z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bc91a251849a655c8b60ed17cdb5c8d6ab0b7d459ac972d9ff900ed9768c3926</vt:lpwstr>
  </property>
</Properties>
</file>