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BB51" w14:textId="51DED8DE" w:rsidR="00753B41" w:rsidRPr="00B768F3" w:rsidRDefault="00BF27EC" w:rsidP="004D4534">
      <w:pPr>
        <w:pBdr>
          <w:top w:val="nil"/>
          <w:left w:val="nil"/>
          <w:bottom w:val="nil"/>
          <w:right w:val="nil"/>
          <w:between w:val="nil"/>
        </w:pBdr>
        <w:spacing w:after="120" w:line="360" w:lineRule="auto"/>
        <w:rPr>
          <w:rFonts w:ascii="Arial" w:eastAsia="Arial" w:hAnsi="Arial" w:cs="Arial"/>
          <w:b/>
          <w:color w:val="010000"/>
          <w:sz w:val="20"/>
          <w:szCs w:val="20"/>
        </w:rPr>
      </w:pPr>
      <w:r w:rsidRPr="00B768F3">
        <w:rPr>
          <w:rFonts w:ascii="Arial" w:hAnsi="Arial" w:cs="Arial"/>
          <w:b/>
          <w:color w:val="010000"/>
          <w:sz w:val="20"/>
        </w:rPr>
        <w:t>VDN: Annual General Mandate 2024</w:t>
      </w:r>
    </w:p>
    <w:p w14:paraId="70ECD2F0" w14:textId="7785CFF3"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 xml:space="preserve">On June 21, 2024, VINATEX Danang JSC announced General Mandate </w:t>
      </w:r>
      <w:r w:rsidR="00E64256" w:rsidRPr="00B768F3">
        <w:rPr>
          <w:rFonts w:ascii="Arial" w:hAnsi="Arial" w:cs="Arial"/>
          <w:color w:val="010000"/>
          <w:sz w:val="20"/>
        </w:rPr>
        <w:t xml:space="preserve">No. </w:t>
      </w:r>
      <w:r w:rsidRPr="00B768F3">
        <w:rPr>
          <w:rFonts w:ascii="Arial" w:hAnsi="Arial" w:cs="Arial"/>
          <w:color w:val="010000"/>
          <w:sz w:val="20"/>
        </w:rPr>
        <w:t>01/2024/NQ-DHDCD as follows:</w:t>
      </w:r>
    </w:p>
    <w:p w14:paraId="48652A16"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Article 1: Approve the Report on the results of implementing the General Mandate 2023 and orientations and solutions to carry out tasks in 2024.</w:t>
      </w:r>
    </w:p>
    <w:p w14:paraId="6C0C7338" w14:textId="5ADFBCE6" w:rsidR="00753B41" w:rsidRPr="00B768F3" w:rsidRDefault="00F75B47"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Results of implementation of production and business targets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66"/>
        <w:gridCol w:w="1872"/>
        <w:gridCol w:w="1423"/>
        <w:gridCol w:w="1578"/>
        <w:gridCol w:w="1578"/>
      </w:tblGrid>
      <w:tr w:rsidR="00753B41" w:rsidRPr="00B768F3" w14:paraId="792FD631" w14:textId="77777777" w:rsidTr="004D4534">
        <w:tc>
          <w:tcPr>
            <w:tcW w:w="1423" w:type="pct"/>
            <w:shd w:val="clear" w:color="auto" w:fill="auto"/>
            <w:tcMar>
              <w:top w:w="0" w:type="dxa"/>
              <w:bottom w:w="0" w:type="dxa"/>
            </w:tcMar>
            <w:vAlign w:val="center"/>
          </w:tcPr>
          <w:p w14:paraId="34AD1465"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Content</w:t>
            </w:r>
          </w:p>
        </w:tc>
        <w:tc>
          <w:tcPr>
            <w:tcW w:w="1038" w:type="pct"/>
            <w:shd w:val="clear" w:color="auto" w:fill="auto"/>
            <w:tcMar>
              <w:top w:w="0" w:type="dxa"/>
              <w:bottom w:w="0" w:type="dxa"/>
            </w:tcMar>
            <w:vAlign w:val="center"/>
          </w:tcPr>
          <w:p w14:paraId="6EF433A4"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Unit</w:t>
            </w:r>
          </w:p>
        </w:tc>
        <w:tc>
          <w:tcPr>
            <w:tcW w:w="789" w:type="pct"/>
            <w:shd w:val="clear" w:color="auto" w:fill="auto"/>
            <w:tcMar>
              <w:top w:w="0" w:type="dxa"/>
              <w:bottom w:w="0" w:type="dxa"/>
            </w:tcMar>
            <w:vAlign w:val="center"/>
          </w:tcPr>
          <w:p w14:paraId="296E0953"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Results 2022</w:t>
            </w:r>
          </w:p>
        </w:tc>
        <w:tc>
          <w:tcPr>
            <w:tcW w:w="875" w:type="pct"/>
            <w:shd w:val="clear" w:color="auto" w:fill="auto"/>
            <w:tcMar>
              <w:top w:w="0" w:type="dxa"/>
              <w:bottom w:w="0" w:type="dxa"/>
            </w:tcMar>
            <w:vAlign w:val="center"/>
          </w:tcPr>
          <w:p w14:paraId="7D687A9C"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Results 2023</w:t>
            </w:r>
          </w:p>
        </w:tc>
        <w:tc>
          <w:tcPr>
            <w:tcW w:w="875" w:type="pct"/>
            <w:shd w:val="clear" w:color="auto" w:fill="auto"/>
            <w:tcMar>
              <w:top w:w="0" w:type="dxa"/>
              <w:bottom w:w="0" w:type="dxa"/>
            </w:tcMar>
            <w:vAlign w:val="center"/>
          </w:tcPr>
          <w:p w14:paraId="2C349B20"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Compared to the same period</w:t>
            </w:r>
          </w:p>
        </w:tc>
      </w:tr>
      <w:tr w:rsidR="00753B41" w:rsidRPr="00B768F3" w14:paraId="1E780835" w14:textId="77777777" w:rsidTr="004D4534">
        <w:tc>
          <w:tcPr>
            <w:tcW w:w="1423" w:type="pct"/>
            <w:shd w:val="clear" w:color="auto" w:fill="auto"/>
            <w:tcMar>
              <w:top w:w="0" w:type="dxa"/>
              <w:bottom w:w="0" w:type="dxa"/>
            </w:tcMar>
            <w:vAlign w:val="center"/>
          </w:tcPr>
          <w:p w14:paraId="3B38FF27"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Revenue from goods sale</w:t>
            </w:r>
          </w:p>
        </w:tc>
        <w:tc>
          <w:tcPr>
            <w:tcW w:w="1038" w:type="pct"/>
            <w:shd w:val="clear" w:color="auto" w:fill="auto"/>
            <w:tcMar>
              <w:top w:w="0" w:type="dxa"/>
              <w:bottom w:w="0" w:type="dxa"/>
            </w:tcMar>
            <w:vAlign w:val="center"/>
          </w:tcPr>
          <w:p w14:paraId="14A13DA2"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Billion VND</w:t>
            </w:r>
          </w:p>
        </w:tc>
        <w:tc>
          <w:tcPr>
            <w:tcW w:w="789" w:type="pct"/>
            <w:shd w:val="clear" w:color="auto" w:fill="auto"/>
            <w:tcMar>
              <w:top w:w="0" w:type="dxa"/>
              <w:bottom w:w="0" w:type="dxa"/>
            </w:tcMar>
            <w:vAlign w:val="center"/>
          </w:tcPr>
          <w:p w14:paraId="08C627C0"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611</w:t>
            </w:r>
          </w:p>
        </w:tc>
        <w:tc>
          <w:tcPr>
            <w:tcW w:w="875" w:type="pct"/>
            <w:shd w:val="clear" w:color="auto" w:fill="auto"/>
            <w:tcMar>
              <w:top w:w="0" w:type="dxa"/>
              <w:bottom w:w="0" w:type="dxa"/>
            </w:tcMar>
            <w:vAlign w:val="center"/>
          </w:tcPr>
          <w:p w14:paraId="34EFB78F"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604</w:t>
            </w:r>
          </w:p>
        </w:tc>
        <w:tc>
          <w:tcPr>
            <w:tcW w:w="875" w:type="pct"/>
            <w:shd w:val="clear" w:color="auto" w:fill="auto"/>
            <w:tcMar>
              <w:top w:w="0" w:type="dxa"/>
              <w:bottom w:w="0" w:type="dxa"/>
            </w:tcMar>
            <w:vAlign w:val="center"/>
          </w:tcPr>
          <w:p w14:paraId="6B61B560"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98.85%</w:t>
            </w:r>
          </w:p>
        </w:tc>
      </w:tr>
      <w:tr w:rsidR="00753B41" w:rsidRPr="00B768F3" w14:paraId="661A780D" w14:textId="77777777" w:rsidTr="004D4534">
        <w:tc>
          <w:tcPr>
            <w:tcW w:w="1423" w:type="pct"/>
            <w:shd w:val="clear" w:color="auto" w:fill="auto"/>
            <w:tcMar>
              <w:top w:w="0" w:type="dxa"/>
              <w:bottom w:w="0" w:type="dxa"/>
            </w:tcMar>
            <w:vAlign w:val="center"/>
          </w:tcPr>
          <w:p w14:paraId="7DDF951E"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 xml:space="preserve">CM Revenue </w:t>
            </w:r>
          </w:p>
        </w:tc>
        <w:tc>
          <w:tcPr>
            <w:tcW w:w="1038" w:type="pct"/>
            <w:shd w:val="clear" w:color="auto" w:fill="auto"/>
            <w:tcMar>
              <w:top w:w="0" w:type="dxa"/>
              <w:bottom w:w="0" w:type="dxa"/>
            </w:tcMar>
            <w:vAlign w:val="center"/>
          </w:tcPr>
          <w:p w14:paraId="0568A520"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USD</w:t>
            </w:r>
          </w:p>
        </w:tc>
        <w:tc>
          <w:tcPr>
            <w:tcW w:w="789" w:type="pct"/>
            <w:shd w:val="clear" w:color="auto" w:fill="auto"/>
            <w:tcMar>
              <w:top w:w="0" w:type="dxa"/>
              <w:bottom w:w="0" w:type="dxa"/>
            </w:tcMar>
            <w:vAlign w:val="center"/>
          </w:tcPr>
          <w:p w14:paraId="1A936E9B"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12,628,000</w:t>
            </w:r>
          </w:p>
        </w:tc>
        <w:tc>
          <w:tcPr>
            <w:tcW w:w="875" w:type="pct"/>
            <w:shd w:val="clear" w:color="auto" w:fill="auto"/>
            <w:tcMar>
              <w:top w:w="0" w:type="dxa"/>
              <w:bottom w:w="0" w:type="dxa"/>
            </w:tcMar>
            <w:vAlign w:val="center"/>
          </w:tcPr>
          <w:p w14:paraId="2506E9B5"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12,016,000</w:t>
            </w:r>
          </w:p>
        </w:tc>
        <w:tc>
          <w:tcPr>
            <w:tcW w:w="875" w:type="pct"/>
            <w:shd w:val="clear" w:color="auto" w:fill="auto"/>
            <w:tcMar>
              <w:top w:w="0" w:type="dxa"/>
              <w:bottom w:w="0" w:type="dxa"/>
            </w:tcMar>
            <w:vAlign w:val="center"/>
          </w:tcPr>
          <w:p w14:paraId="15407D7A"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95.15%</w:t>
            </w:r>
          </w:p>
        </w:tc>
      </w:tr>
      <w:tr w:rsidR="00753B41" w:rsidRPr="00B768F3" w14:paraId="141D87DE" w14:textId="77777777" w:rsidTr="004D4534">
        <w:tc>
          <w:tcPr>
            <w:tcW w:w="1423" w:type="pct"/>
            <w:shd w:val="clear" w:color="auto" w:fill="auto"/>
            <w:tcMar>
              <w:top w:w="0" w:type="dxa"/>
              <w:bottom w:w="0" w:type="dxa"/>
            </w:tcMar>
            <w:vAlign w:val="center"/>
          </w:tcPr>
          <w:p w14:paraId="207C768C"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Employee</w:t>
            </w:r>
          </w:p>
        </w:tc>
        <w:tc>
          <w:tcPr>
            <w:tcW w:w="1038" w:type="pct"/>
            <w:shd w:val="clear" w:color="auto" w:fill="auto"/>
            <w:tcMar>
              <w:top w:w="0" w:type="dxa"/>
              <w:bottom w:w="0" w:type="dxa"/>
            </w:tcMar>
            <w:vAlign w:val="center"/>
          </w:tcPr>
          <w:p w14:paraId="61DC9AF2"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Person</w:t>
            </w:r>
          </w:p>
        </w:tc>
        <w:tc>
          <w:tcPr>
            <w:tcW w:w="789" w:type="pct"/>
            <w:shd w:val="clear" w:color="auto" w:fill="auto"/>
            <w:tcMar>
              <w:top w:w="0" w:type="dxa"/>
              <w:bottom w:w="0" w:type="dxa"/>
            </w:tcMar>
            <w:vAlign w:val="center"/>
          </w:tcPr>
          <w:p w14:paraId="673117B2"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2,132</w:t>
            </w:r>
          </w:p>
        </w:tc>
        <w:tc>
          <w:tcPr>
            <w:tcW w:w="875" w:type="pct"/>
            <w:shd w:val="clear" w:color="auto" w:fill="auto"/>
            <w:tcMar>
              <w:top w:w="0" w:type="dxa"/>
              <w:bottom w:w="0" w:type="dxa"/>
            </w:tcMar>
            <w:vAlign w:val="center"/>
          </w:tcPr>
          <w:p w14:paraId="6166E313"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2,103</w:t>
            </w:r>
          </w:p>
        </w:tc>
        <w:tc>
          <w:tcPr>
            <w:tcW w:w="875" w:type="pct"/>
            <w:shd w:val="clear" w:color="auto" w:fill="auto"/>
            <w:tcMar>
              <w:top w:w="0" w:type="dxa"/>
              <w:bottom w:w="0" w:type="dxa"/>
            </w:tcMar>
            <w:vAlign w:val="center"/>
          </w:tcPr>
          <w:p w14:paraId="432240D2"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98.64%</w:t>
            </w:r>
          </w:p>
        </w:tc>
      </w:tr>
      <w:tr w:rsidR="00753B41" w:rsidRPr="00B768F3" w14:paraId="027B4850" w14:textId="77777777" w:rsidTr="004D4534">
        <w:tc>
          <w:tcPr>
            <w:tcW w:w="1423" w:type="pct"/>
            <w:shd w:val="clear" w:color="auto" w:fill="auto"/>
            <w:tcMar>
              <w:top w:w="0" w:type="dxa"/>
              <w:bottom w:w="0" w:type="dxa"/>
            </w:tcMar>
            <w:vAlign w:val="center"/>
          </w:tcPr>
          <w:p w14:paraId="4BF1FF61"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Average income</w:t>
            </w:r>
          </w:p>
        </w:tc>
        <w:tc>
          <w:tcPr>
            <w:tcW w:w="1038" w:type="pct"/>
            <w:shd w:val="clear" w:color="auto" w:fill="auto"/>
            <w:tcMar>
              <w:top w:w="0" w:type="dxa"/>
              <w:bottom w:w="0" w:type="dxa"/>
            </w:tcMar>
            <w:vAlign w:val="center"/>
          </w:tcPr>
          <w:p w14:paraId="1DDEFAC4"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VND/Person/Month</w:t>
            </w:r>
          </w:p>
        </w:tc>
        <w:tc>
          <w:tcPr>
            <w:tcW w:w="789" w:type="pct"/>
            <w:shd w:val="clear" w:color="auto" w:fill="auto"/>
            <w:tcMar>
              <w:top w:w="0" w:type="dxa"/>
              <w:bottom w:w="0" w:type="dxa"/>
            </w:tcMar>
            <w:vAlign w:val="center"/>
          </w:tcPr>
          <w:p w14:paraId="0E46F278"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8,678,000</w:t>
            </w:r>
          </w:p>
        </w:tc>
        <w:tc>
          <w:tcPr>
            <w:tcW w:w="875" w:type="pct"/>
            <w:shd w:val="clear" w:color="auto" w:fill="auto"/>
            <w:tcMar>
              <w:top w:w="0" w:type="dxa"/>
              <w:bottom w:w="0" w:type="dxa"/>
            </w:tcMar>
            <w:vAlign w:val="center"/>
          </w:tcPr>
          <w:p w14:paraId="52D0A116"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8,606,000</w:t>
            </w:r>
          </w:p>
        </w:tc>
        <w:tc>
          <w:tcPr>
            <w:tcW w:w="875" w:type="pct"/>
            <w:shd w:val="clear" w:color="auto" w:fill="auto"/>
            <w:tcMar>
              <w:top w:w="0" w:type="dxa"/>
              <w:bottom w:w="0" w:type="dxa"/>
            </w:tcMar>
            <w:vAlign w:val="center"/>
          </w:tcPr>
          <w:p w14:paraId="28C0AB60"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99.17%</w:t>
            </w:r>
          </w:p>
        </w:tc>
      </w:tr>
      <w:tr w:rsidR="00753B41" w:rsidRPr="00B768F3" w14:paraId="0CFC735D" w14:textId="77777777" w:rsidTr="004D4534">
        <w:tc>
          <w:tcPr>
            <w:tcW w:w="1423" w:type="pct"/>
            <w:shd w:val="clear" w:color="auto" w:fill="auto"/>
            <w:tcMar>
              <w:top w:w="0" w:type="dxa"/>
              <w:bottom w:w="0" w:type="dxa"/>
            </w:tcMar>
            <w:vAlign w:val="center"/>
          </w:tcPr>
          <w:p w14:paraId="4E91CEA6" w14:textId="6CE1E538" w:rsidR="00753B41" w:rsidRPr="00B768F3" w:rsidRDefault="00B768F3"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 xml:space="preserve">Profit </w:t>
            </w:r>
            <w:r w:rsidR="00BF27EC" w:rsidRPr="00B768F3">
              <w:rPr>
                <w:rFonts w:ascii="Arial" w:hAnsi="Arial" w:cs="Arial"/>
                <w:color w:val="010000"/>
                <w:sz w:val="20"/>
              </w:rPr>
              <w:t>before tax</w:t>
            </w:r>
          </w:p>
        </w:tc>
        <w:tc>
          <w:tcPr>
            <w:tcW w:w="1038" w:type="pct"/>
            <w:shd w:val="clear" w:color="auto" w:fill="auto"/>
            <w:tcMar>
              <w:top w:w="0" w:type="dxa"/>
              <w:bottom w:w="0" w:type="dxa"/>
            </w:tcMar>
            <w:vAlign w:val="center"/>
          </w:tcPr>
          <w:p w14:paraId="4AB188E1"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Billion VND</w:t>
            </w:r>
          </w:p>
        </w:tc>
        <w:tc>
          <w:tcPr>
            <w:tcW w:w="789" w:type="pct"/>
            <w:shd w:val="clear" w:color="auto" w:fill="auto"/>
            <w:tcMar>
              <w:top w:w="0" w:type="dxa"/>
              <w:bottom w:w="0" w:type="dxa"/>
            </w:tcMar>
            <w:vAlign w:val="center"/>
          </w:tcPr>
          <w:p w14:paraId="17DCF0AA"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15.147</w:t>
            </w:r>
          </w:p>
        </w:tc>
        <w:tc>
          <w:tcPr>
            <w:tcW w:w="875" w:type="pct"/>
            <w:shd w:val="clear" w:color="auto" w:fill="auto"/>
            <w:tcMar>
              <w:top w:w="0" w:type="dxa"/>
              <w:bottom w:w="0" w:type="dxa"/>
            </w:tcMar>
            <w:vAlign w:val="center"/>
          </w:tcPr>
          <w:p w14:paraId="120963D5"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7.102</w:t>
            </w:r>
          </w:p>
        </w:tc>
        <w:tc>
          <w:tcPr>
            <w:tcW w:w="875" w:type="pct"/>
            <w:shd w:val="clear" w:color="auto" w:fill="auto"/>
            <w:tcMar>
              <w:top w:w="0" w:type="dxa"/>
              <w:bottom w:w="0" w:type="dxa"/>
            </w:tcMar>
            <w:vAlign w:val="center"/>
          </w:tcPr>
          <w:p w14:paraId="0D478D17"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46.89%</w:t>
            </w:r>
          </w:p>
        </w:tc>
      </w:tr>
    </w:tbl>
    <w:p w14:paraId="212BA6EE" w14:textId="3E530905"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Approve orientations and solutions to implement production and business tasks in 2024 with specific targets as follows:</w:t>
      </w:r>
    </w:p>
    <w:p w14:paraId="22AFBBD3" w14:textId="77777777" w:rsidR="00753B41" w:rsidRPr="00B768F3" w:rsidRDefault="00BF27EC" w:rsidP="004D4534">
      <w:pPr>
        <w:numPr>
          <w:ilvl w:val="0"/>
          <w:numId w:val="1"/>
        </w:numPr>
        <w:pBdr>
          <w:top w:val="nil"/>
          <w:left w:val="nil"/>
          <w:bottom w:val="nil"/>
          <w:right w:val="nil"/>
          <w:between w:val="nil"/>
        </w:pBdr>
        <w:tabs>
          <w:tab w:val="left" w:pos="432"/>
          <w:tab w:val="left" w:pos="883"/>
        </w:tabs>
        <w:spacing w:after="120" w:line="360" w:lineRule="auto"/>
        <w:rPr>
          <w:rFonts w:ascii="Arial" w:eastAsia="Arial" w:hAnsi="Arial" w:cs="Arial"/>
          <w:color w:val="010000"/>
          <w:sz w:val="20"/>
          <w:szCs w:val="20"/>
        </w:rPr>
      </w:pPr>
      <w:r w:rsidRPr="00B768F3">
        <w:rPr>
          <w:rFonts w:ascii="Arial" w:hAnsi="Arial" w:cs="Arial"/>
          <w:color w:val="010000"/>
          <w:sz w:val="20"/>
        </w:rPr>
        <w:t>Revenue from goods sales: VND710 billion;</w:t>
      </w:r>
    </w:p>
    <w:p w14:paraId="4AC54C71" w14:textId="36BDAB4B" w:rsidR="00753B41" w:rsidRPr="00B768F3" w:rsidRDefault="00F75B47" w:rsidP="004D4534">
      <w:pPr>
        <w:numPr>
          <w:ilvl w:val="0"/>
          <w:numId w:val="1"/>
        </w:numPr>
        <w:pBdr>
          <w:top w:val="nil"/>
          <w:left w:val="nil"/>
          <w:bottom w:val="nil"/>
          <w:right w:val="nil"/>
          <w:between w:val="nil"/>
        </w:pBdr>
        <w:tabs>
          <w:tab w:val="left" w:pos="432"/>
          <w:tab w:val="left" w:pos="878"/>
        </w:tabs>
        <w:spacing w:after="120" w:line="360" w:lineRule="auto"/>
        <w:rPr>
          <w:rFonts w:ascii="Arial" w:eastAsia="Arial" w:hAnsi="Arial" w:cs="Arial"/>
          <w:color w:val="010000"/>
          <w:sz w:val="20"/>
          <w:szCs w:val="20"/>
        </w:rPr>
      </w:pPr>
      <w:r w:rsidRPr="00B768F3">
        <w:rPr>
          <w:rFonts w:ascii="Arial" w:hAnsi="Arial" w:cs="Arial"/>
          <w:color w:val="010000"/>
          <w:sz w:val="20"/>
        </w:rPr>
        <w:t xml:space="preserve">Total CM Revenue: </w:t>
      </w:r>
      <w:r w:rsidR="00BF27EC" w:rsidRPr="00B768F3">
        <w:rPr>
          <w:rFonts w:ascii="Arial" w:hAnsi="Arial" w:cs="Arial"/>
          <w:color w:val="010000"/>
          <w:sz w:val="20"/>
        </w:rPr>
        <w:t>USD16.803 million</w:t>
      </w:r>
    </w:p>
    <w:p w14:paraId="0E126D23" w14:textId="77777777" w:rsidR="00753B41" w:rsidRPr="00B768F3" w:rsidRDefault="00BF27EC" w:rsidP="004D4534">
      <w:pPr>
        <w:numPr>
          <w:ilvl w:val="0"/>
          <w:numId w:val="1"/>
        </w:numPr>
        <w:pBdr>
          <w:top w:val="nil"/>
          <w:left w:val="nil"/>
          <w:bottom w:val="nil"/>
          <w:right w:val="nil"/>
          <w:between w:val="nil"/>
        </w:pBdr>
        <w:tabs>
          <w:tab w:val="left" w:pos="432"/>
          <w:tab w:val="left" w:pos="893"/>
        </w:tabs>
        <w:spacing w:after="120" w:line="360" w:lineRule="auto"/>
        <w:rPr>
          <w:rFonts w:ascii="Arial" w:eastAsia="Arial" w:hAnsi="Arial" w:cs="Arial"/>
          <w:color w:val="010000"/>
          <w:sz w:val="20"/>
          <w:szCs w:val="20"/>
        </w:rPr>
      </w:pPr>
      <w:r w:rsidRPr="00B768F3">
        <w:rPr>
          <w:rFonts w:ascii="Arial" w:hAnsi="Arial" w:cs="Arial"/>
          <w:color w:val="010000"/>
          <w:sz w:val="20"/>
        </w:rPr>
        <w:t>Average number of employees: 2,399 people</w:t>
      </w:r>
    </w:p>
    <w:p w14:paraId="73F18245" w14:textId="78BE086F" w:rsidR="00753B41" w:rsidRPr="00B768F3" w:rsidRDefault="00BF27EC" w:rsidP="004D4534">
      <w:pPr>
        <w:numPr>
          <w:ilvl w:val="0"/>
          <w:numId w:val="1"/>
        </w:numPr>
        <w:pBdr>
          <w:top w:val="nil"/>
          <w:left w:val="nil"/>
          <w:bottom w:val="nil"/>
          <w:right w:val="nil"/>
          <w:between w:val="nil"/>
        </w:pBdr>
        <w:tabs>
          <w:tab w:val="left" w:pos="432"/>
          <w:tab w:val="left" w:pos="883"/>
        </w:tabs>
        <w:spacing w:after="120" w:line="360" w:lineRule="auto"/>
        <w:rPr>
          <w:rFonts w:ascii="Arial" w:eastAsia="Arial" w:hAnsi="Arial" w:cs="Arial"/>
          <w:color w:val="010000"/>
          <w:sz w:val="20"/>
          <w:szCs w:val="20"/>
        </w:rPr>
      </w:pPr>
      <w:r w:rsidRPr="00B768F3">
        <w:rPr>
          <w:rFonts w:ascii="Arial" w:hAnsi="Arial" w:cs="Arial"/>
          <w:color w:val="010000"/>
          <w:sz w:val="20"/>
        </w:rPr>
        <w:t>Average income per employee</w:t>
      </w:r>
      <w:r w:rsidR="00B768F3" w:rsidRPr="00B768F3">
        <w:rPr>
          <w:rFonts w:ascii="Arial" w:hAnsi="Arial" w:cs="Arial"/>
          <w:color w:val="010000"/>
          <w:sz w:val="20"/>
        </w:rPr>
        <w:t>:</w:t>
      </w:r>
      <w:r w:rsidRPr="00B768F3">
        <w:rPr>
          <w:rFonts w:ascii="Arial" w:hAnsi="Arial" w:cs="Arial"/>
          <w:color w:val="010000"/>
          <w:sz w:val="20"/>
        </w:rPr>
        <w:t xml:space="preserve"> VND10,233,000/person/month</w:t>
      </w:r>
    </w:p>
    <w:p w14:paraId="131F97DE" w14:textId="0B7E9F45" w:rsidR="00753B41" w:rsidRPr="00B768F3" w:rsidRDefault="00BF27EC" w:rsidP="004D4534">
      <w:pPr>
        <w:numPr>
          <w:ilvl w:val="0"/>
          <w:numId w:val="1"/>
        </w:numPr>
        <w:pBdr>
          <w:top w:val="nil"/>
          <w:left w:val="nil"/>
          <w:bottom w:val="nil"/>
          <w:right w:val="nil"/>
          <w:between w:val="nil"/>
        </w:pBdr>
        <w:tabs>
          <w:tab w:val="left" w:pos="432"/>
          <w:tab w:val="left" w:pos="878"/>
        </w:tabs>
        <w:spacing w:after="120" w:line="360" w:lineRule="auto"/>
        <w:rPr>
          <w:rFonts w:ascii="Arial" w:eastAsia="Arial" w:hAnsi="Arial" w:cs="Arial"/>
          <w:color w:val="010000"/>
          <w:sz w:val="20"/>
          <w:szCs w:val="20"/>
        </w:rPr>
      </w:pPr>
      <w:r w:rsidRPr="00B768F3">
        <w:rPr>
          <w:rFonts w:ascii="Arial" w:hAnsi="Arial" w:cs="Arial"/>
          <w:color w:val="010000"/>
          <w:sz w:val="20"/>
        </w:rPr>
        <w:t xml:space="preserve">Profit before tax: </w:t>
      </w:r>
      <w:r w:rsidR="00F75B47" w:rsidRPr="00B768F3">
        <w:rPr>
          <w:rFonts w:ascii="Arial" w:hAnsi="Arial" w:cs="Arial"/>
          <w:color w:val="010000"/>
          <w:sz w:val="20"/>
        </w:rPr>
        <w:t>VND</w:t>
      </w:r>
      <w:r w:rsidRPr="00B768F3">
        <w:rPr>
          <w:rFonts w:ascii="Arial" w:hAnsi="Arial" w:cs="Arial"/>
          <w:color w:val="010000"/>
          <w:sz w:val="20"/>
        </w:rPr>
        <w:t>10 billion</w:t>
      </w:r>
    </w:p>
    <w:p w14:paraId="3E11CA6F" w14:textId="661136CF" w:rsidR="00753B41" w:rsidRPr="00B768F3" w:rsidRDefault="00BF27EC" w:rsidP="004D4534">
      <w:pPr>
        <w:numPr>
          <w:ilvl w:val="0"/>
          <w:numId w:val="1"/>
        </w:numPr>
        <w:pBdr>
          <w:top w:val="nil"/>
          <w:left w:val="nil"/>
          <w:bottom w:val="nil"/>
          <w:right w:val="nil"/>
          <w:between w:val="nil"/>
        </w:pBdr>
        <w:tabs>
          <w:tab w:val="left" w:pos="432"/>
          <w:tab w:val="left" w:pos="888"/>
        </w:tabs>
        <w:spacing w:after="120" w:line="360" w:lineRule="auto"/>
        <w:rPr>
          <w:rFonts w:ascii="Arial" w:eastAsia="Arial" w:hAnsi="Arial" w:cs="Arial"/>
          <w:color w:val="010000"/>
          <w:sz w:val="20"/>
          <w:szCs w:val="20"/>
        </w:rPr>
      </w:pPr>
      <w:r w:rsidRPr="00B768F3">
        <w:rPr>
          <w:rFonts w:ascii="Arial" w:hAnsi="Arial" w:cs="Arial"/>
          <w:color w:val="010000"/>
          <w:sz w:val="20"/>
        </w:rPr>
        <w:t>Dividends: 20%/Charter capital</w:t>
      </w:r>
    </w:p>
    <w:p w14:paraId="4B8FD34C"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Article 2: Approve the Board of Directors' report on performance in 2023 and action plan for 2024</w:t>
      </w:r>
    </w:p>
    <w:p w14:paraId="67A9F5AE"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Article 3: Approve the Report of the Supervisory Board at the Annual General Meeting of Shareholders 2024 of VINATEX Danang JSC.</w:t>
      </w:r>
    </w:p>
    <w:p w14:paraId="7E4303B3"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Article 4: Approve the Proposal on approving the Financial Statements 2023 to be audited by AAC Auditing and Accounting Company Limited.</w:t>
      </w:r>
    </w:p>
    <w:p w14:paraId="6BF1F504"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Article 5: Approve the Proposal on approving the profit distribution and dividend plan for 2023:</w:t>
      </w:r>
    </w:p>
    <w:p w14:paraId="2079DFA3" w14:textId="56B6B7F4" w:rsidR="00C271D9" w:rsidRPr="00B768F3" w:rsidRDefault="00BF27EC" w:rsidP="004D4534">
      <w:pPr>
        <w:pStyle w:val="ListParagraph"/>
        <w:numPr>
          <w:ilvl w:val="0"/>
          <w:numId w:val="2"/>
        </w:numPr>
        <w:pBdr>
          <w:top w:val="nil"/>
          <w:left w:val="nil"/>
          <w:bottom w:val="nil"/>
          <w:right w:val="nil"/>
          <w:between w:val="nil"/>
        </w:pBdr>
        <w:tabs>
          <w:tab w:val="left" w:pos="432"/>
          <w:tab w:val="left" w:pos="5045"/>
        </w:tabs>
        <w:spacing w:after="120" w:line="360" w:lineRule="auto"/>
        <w:ind w:left="0" w:firstLine="0"/>
        <w:contextualSpacing w:val="0"/>
        <w:rPr>
          <w:rFonts w:ascii="Arial" w:eastAsia="Arial" w:hAnsi="Arial" w:cs="Arial"/>
          <w:color w:val="010000"/>
          <w:sz w:val="20"/>
          <w:szCs w:val="20"/>
        </w:rPr>
      </w:pPr>
      <w:r w:rsidRPr="00B768F3">
        <w:rPr>
          <w:rFonts w:ascii="Arial" w:hAnsi="Arial" w:cs="Arial"/>
          <w:color w:val="010000"/>
          <w:sz w:val="20"/>
        </w:rPr>
        <w:t>Profit after tax in 2023: VND6,378,264,421</w:t>
      </w:r>
    </w:p>
    <w:p w14:paraId="21567467" w14:textId="549BFA26" w:rsidR="00753B41" w:rsidRPr="00B768F3" w:rsidRDefault="00BF27EC" w:rsidP="004D4534">
      <w:pPr>
        <w:pStyle w:val="ListParagraph"/>
        <w:numPr>
          <w:ilvl w:val="0"/>
          <w:numId w:val="2"/>
        </w:numPr>
        <w:pBdr>
          <w:top w:val="nil"/>
          <w:left w:val="nil"/>
          <w:bottom w:val="nil"/>
          <w:right w:val="nil"/>
          <w:between w:val="nil"/>
        </w:pBdr>
        <w:tabs>
          <w:tab w:val="left" w:pos="432"/>
          <w:tab w:val="left" w:pos="5045"/>
        </w:tabs>
        <w:spacing w:after="120" w:line="360" w:lineRule="auto"/>
        <w:ind w:left="0" w:firstLine="0"/>
        <w:contextualSpacing w:val="0"/>
        <w:rPr>
          <w:rFonts w:ascii="Arial" w:eastAsia="Arial" w:hAnsi="Arial" w:cs="Arial"/>
          <w:color w:val="010000"/>
          <w:sz w:val="20"/>
          <w:szCs w:val="20"/>
        </w:rPr>
      </w:pPr>
      <w:r w:rsidRPr="00B768F3">
        <w:rPr>
          <w:rFonts w:ascii="Arial" w:hAnsi="Arial" w:cs="Arial"/>
          <w:color w:val="010000"/>
          <w:sz w:val="20"/>
        </w:rPr>
        <w:t>Distribution of profit after tax in 2023</w:t>
      </w:r>
    </w:p>
    <w:p w14:paraId="0CBC4DB7" w14:textId="2EB373ED" w:rsidR="00753B41" w:rsidRPr="00B768F3" w:rsidRDefault="00BF27EC" w:rsidP="004D4534">
      <w:pPr>
        <w:pStyle w:val="ListParagraph"/>
        <w:numPr>
          <w:ilvl w:val="1"/>
          <w:numId w:val="2"/>
        </w:numPr>
        <w:pBdr>
          <w:top w:val="nil"/>
          <w:left w:val="nil"/>
          <w:bottom w:val="nil"/>
          <w:right w:val="nil"/>
          <w:between w:val="nil"/>
        </w:pBdr>
        <w:tabs>
          <w:tab w:val="left" w:pos="432"/>
          <w:tab w:val="right" w:pos="5147"/>
        </w:tabs>
        <w:spacing w:after="120" w:line="360" w:lineRule="auto"/>
        <w:ind w:left="0" w:firstLine="0"/>
        <w:contextualSpacing w:val="0"/>
        <w:rPr>
          <w:rFonts w:ascii="Arial" w:eastAsia="Arial" w:hAnsi="Arial" w:cs="Arial"/>
          <w:color w:val="010000"/>
          <w:sz w:val="20"/>
          <w:szCs w:val="20"/>
        </w:rPr>
      </w:pPr>
      <w:r w:rsidRPr="00B768F3">
        <w:rPr>
          <w:rFonts w:ascii="Arial" w:hAnsi="Arial" w:cs="Arial"/>
          <w:color w:val="010000"/>
          <w:sz w:val="20"/>
        </w:rPr>
        <w:t>Appropriation for bonus and welfare funds</w:t>
      </w:r>
      <w:r w:rsidR="00F75B47" w:rsidRPr="00B768F3">
        <w:rPr>
          <w:rFonts w:ascii="Arial" w:hAnsi="Arial" w:cs="Arial"/>
          <w:color w:val="010000"/>
          <w:sz w:val="20"/>
        </w:rPr>
        <w:t>:</w:t>
      </w:r>
      <w:r w:rsidRPr="00B768F3">
        <w:rPr>
          <w:rFonts w:ascii="Arial" w:hAnsi="Arial" w:cs="Arial"/>
          <w:color w:val="010000"/>
          <w:sz w:val="20"/>
        </w:rPr>
        <w:t xml:space="preserve"> No appropriation</w:t>
      </w:r>
    </w:p>
    <w:p w14:paraId="2EFE2519" w14:textId="187188F4" w:rsidR="00753B41" w:rsidRPr="00B768F3" w:rsidRDefault="00BF27EC" w:rsidP="004D4534">
      <w:pPr>
        <w:pStyle w:val="ListParagraph"/>
        <w:numPr>
          <w:ilvl w:val="1"/>
          <w:numId w:val="2"/>
        </w:numPr>
        <w:pBdr>
          <w:top w:val="nil"/>
          <w:left w:val="nil"/>
          <w:bottom w:val="nil"/>
          <w:right w:val="nil"/>
          <w:between w:val="nil"/>
        </w:pBdr>
        <w:tabs>
          <w:tab w:val="left" w:pos="432"/>
          <w:tab w:val="right" w:pos="5147"/>
        </w:tabs>
        <w:spacing w:after="120" w:line="360" w:lineRule="auto"/>
        <w:ind w:left="0" w:firstLine="0"/>
        <w:contextualSpacing w:val="0"/>
        <w:rPr>
          <w:rFonts w:ascii="Arial" w:eastAsia="Arial" w:hAnsi="Arial" w:cs="Arial"/>
          <w:color w:val="010000"/>
          <w:sz w:val="20"/>
          <w:szCs w:val="20"/>
        </w:rPr>
      </w:pPr>
      <w:r w:rsidRPr="00B768F3">
        <w:rPr>
          <w:rFonts w:ascii="Arial" w:hAnsi="Arial" w:cs="Arial"/>
          <w:color w:val="010000"/>
          <w:sz w:val="20"/>
        </w:rPr>
        <w:t>Appropriation for i</w:t>
      </w:r>
      <w:r w:rsidR="00F75B47" w:rsidRPr="00B768F3">
        <w:rPr>
          <w:rFonts w:ascii="Arial" w:hAnsi="Arial" w:cs="Arial"/>
          <w:color w:val="010000"/>
          <w:sz w:val="20"/>
        </w:rPr>
        <w:t>nvestment and development funds:</w:t>
      </w:r>
      <w:r w:rsidRPr="00B768F3">
        <w:rPr>
          <w:rFonts w:ascii="Arial" w:hAnsi="Arial" w:cs="Arial"/>
          <w:color w:val="010000"/>
          <w:sz w:val="20"/>
        </w:rPr>
        <w:t xml:space="preserve"> No appropriation</w:t>
      </w:r>
    </w:p>
    <w:p w14:paraId="66E1EBB9" w14:textId="77777777" w:rsidR="00753B41" w:rsidRPr="00B768F3" w:rsidRDefault="00BF27EC" w:rsidP="004D4534">
      <w:pPr>
        <w:pStyle w:val="ListParagraph"/>
        <w:numPr>
          <w:ilvl w:val="0"/>
          <w:numId w:val="2"/>
        </w:numPr>
        <w:pBdr>
          <w:top w:val="nil"/>
          <w:left w:val="nil"/>
          <w:bottom w:val="nil"/>
          <w:right w:val="nil"/>
          <w:between w:val="nil"/>
        </w:pBdr>
        <w:tabs>
          <w:tab w:val="left" w:pos="432"/>
          <w:tab w:val="right" w:pos="5147"/>
        </w:tabs>
        <w:spacing w:after="120" w:line="360" w:lineRule="auto"/>
        <w:ind w:left="0" w:firstLine="0"/>
        <w:contextualSpacing w:val="0"/>
        <w:rPr>
          <w:rFonts w:ascii="Arial" w:eastAsia="Arial" w:hAnsi="Arial" w:cs="Arial"/>
          <w:color w:val="010000"/>
          <w:sz w:val="20"/>
          <w:szCs w:val="20"/>
        </w:rPr>
      </w:pPr>
      <w:r w:rsidRPr="00B768F3">
        <w:rPr>
          <w:rFonts w:ascii="Arial" w:hAnsi="Arial" w:cs="Arial"/>
          <w:color w:val="010000"/>
          <w:sz w:val="20"/>
        </w:rPr>
        <w:lastRenderedPageBreak/>
        <w:t>Dividend payment in 2023: 20%/Charter capital, in cash</w:t>
      </w:r>
    </w:p>
    <w:p w14:paraId="29BFA170"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Article 6: Approve the Proposal on the Total remuneration of the Board of Directors and the Supervisory Board in 2024 of VND624,000,000.</w:t>
      </w:r>
    </w:p>
    <w:p w14:paraId="37A102AE" w14:textId="024093C1"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 xml:space="preserve">Article 7: Approve the Proposal on selecting the independent audit company to audit the Financial Statements 2024, AAC Auditing </w:t>
      </w:r>
      <w:r w:rsidR="00C21C46" w:rsidRPr="00B768F3">
        <w:rPr>
          <w:rFonts w:ascii="Arial" w:hAnsi="Arial" w:cs="Arial"/>
          <w:color w:val="010000"/>
          <w:sz w:val="20"/>
        </w:rPr>
        <w:t>and</w:t>
      </w:r>
      <w:r w:rsidRPr="00B768F3">
        <w:rPr>
          <w:rFonts w:ascii="Arial" w:hAnsi="Arial" w:cs="Arial"/>
          <w:color w:val="010000"/>
          <w:sz w:val="20"/>
        </w:rPr>
        <w:t xml:space="preserve"> Accounting Company Limited.</w:t>
      </w:r>
    </w:p>
    <w:p w14:paraId="66163A14" w14:textId="5F253C5F" w:rsidR="00BF27EC" w:rsidRPr="00B768F3" w:rsidRDefault="00BF27EC" w:rsidP="004D4534">
      <w:pPr>
        <w:pBdr>
          <w:top w:val="nil"/>
          <w:left w:val="nil"/>
          <w:bottom w:val="nil"/>
          <w:right w:val="nil"/>
          <w:between w:val="nil"/>
        </w:pBdr>
        <w:spacing w:after="120" w:line="360" w:lineRule="auto"/>
        <w:rPr>
          <w:rFonts w:ascii="Arial" w:eastAsia="Times New Roman" w:hAnsi="Arial" w:cs="Arial"/>
          <w:color w:val="010000"/>
          <w:sz w:val="20"/>
        </w:rPr>
      </w:pPr>
      <w:r w:rsidRPr="00B768F3">
        <w:rPr>
          <w:rFonts w:ascii="Arial" w:hAnsi="Arial" w:cs="Arial"/>
          <w:color w:val="010000"/>
          <w:sz w:val="20"/>
        </w:rPr>
        <w:t xml:space="preserve">Article 8: Approve the Proposal on approving the plan to issue shares under the </w:t>
      </w:r>
      <w:r w:rsidR="00F75B47" w:rsidRPr="00B768F3">
        <w:rPr>
          <w:rFonts w:ascii="Arial" w:hAnsi="Arial" w:cs="Arial"/>
          <w:color w:val="010000"/>
          <w:sz w:val="20"/>
        </w:rPr>
        <w:t>Employee Stock Ownership Plan</w:t>
      </w:r>
      <w:r w:rsidRPr="00B768F3">
        <w:rPr>
          <w:rFonts w:ascii="Arial" w:hAnsi="Arial" w:cs="Arial"/>
          <w:color w:val="010000"/>
          <w:sz w:val="20"/>
        </w:rPr>
        <w:t xml:space="preserve"> (ESOP). </w:t>
      </w:r>
    </w:p>
    <w:p w14:paraId="7DBF0A45" w14:textId="77777777" w:rsidR="00BF27EC" w:rsidRPr="00B768F3" w:rsidRDefault="00BF27EC"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Share name: Shares of VINATEX Danang JSC</w:t>
      </w:r>
    </w:p>
    <w:p w14:paraId="24FA06AF" w14:textId="77777777" w:rsidR="00BF27EC" w:rsidRPr="00B768F3" w:rsidRDefault="00BF27EC"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Share type: Common shares</w:t>
      </w:r>
    </w:p>
    <w:p w14:paraId="26DF26BE" w14:textId="77777777" w:rsidR="00BF27EC" w:rsidRPr="00B768F3" w:rsidRDefault="00BF27EC"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Securities code: VDN</w:t>
      </w:r>
    </w:p>
    <w:p w14:paraId="59DDFF38" w14:textId="77777777" w:rsidR="00BF27EC" w:rsidRPr="00B768F3" w:rsidRDefault="00BF27EC"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Par value: VND10,000/share;</w:t>
      </w:r>
    </w:p>
    <w:p w14:paraId="3494EA06" w14:textId="77777777" w:rsidR="00BF27EC" w:rsidRPr="00B768F3" w:rsidRDefault="00BF27EC"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Current charter capital: VND31,429,100,000</w:t>
      </w:r>
    </w:p>
    <w:p w14:paraId="4FE2CA7C" w14:textId="77777777" w:rsidR="00BF27EC" w:rsidRPr="00B768F3" w:rsidRDefault="00BF27EC"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Total number of shares issued: 3,142,910 shares</w:t>
      </w:r>
    </w:p>
    <w:p w14:paraId="4A7EDCE0" w14:textId="77777777" w:rsidR="00BF27EC" w:rsidRPr="00B768F3" w:rsidRDefault="00BF27EC" w:rsidP="004D4534">
      <w:pPr>
        <w:widowControl/>
        <w:tabs>
          <w:tab w:val="left" w:pos="432"/>
        </w:tabs>
        <w:spacing w:after="120" w:line="360" w:lineRule="auto"/>
        <w:rPr>
          <w:rFonts w:ascii="Arial" w:eastAsia="Times New Roman" w:hAnsi="Arial" w:cs="Arial"/>
          <w:color w:val="010000"/>
          <w:sz w:val="20"/>
        </w:rPr>
      </w:pPr>
      <w:r w:rsidRPr="00B768F3">
        <w:rPr>
          <w:rFonts w:ascii="Arial" w:hAnsi="Arial" w:cs="Arial"/>
          <w:color w:val="010000"/>
          <w:sz w:val="20"/>
        </w:rPr>
        <w:t>In which:</w:t>
      </w:r>
    </w:p>
    <w:p w14:paraId="7FEC5171" w14:textId="77777777" w:rsidR="00BF27EC" w:rsidRPr="00B768F3" w:rsidRDefault="00BF27EC" w:rsidP="004D4534">
      <w:pPr>
        <w:pStyle w:val="ListParagraph"/>
        <w:widowControl/>
        <w:numPr>
          <w:ilvl w:val="0"/>
          <w:numId w:val="4"/>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Number of outstanding shares: 3,130,730 shares</w:t>
      </w:r>
    </w:p>
    <w:p w14:paraId="27FD549D" w14:textId="77777777" w:rsidR="00BF27EC" w:rsidRPr="00B768F3" w:rsidRDefault="00BF27EC" w:rsidP="004D4534">
      <w:pPr>
        <w:pStyle w:val="ListParagraph"/>
        <w:widowControl/>
        <w:numPr>
          <w:ilvl w:val="0"/>
          <w:numId w:val="4"/>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Number of treasury shares: 12,180 shares</w:t>
      </w:r>
    </w:p>
    <w:p w14:paraId="3CA3C88D" w14:textId="77777777" w:rsidR="00BF27EC" w:rsidRPr="00B768F3" w:rsidRDefault="00BF27EC"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Maximum number of shares expected to be issued 156,000 shares</w:t>
      </w:r>
    </w:p>
    <w:p w14:paraId="7251A7EE" w14:textId="77777777" w:rsidR="00BF27EC" w:rsidRPr="00B768F3" w:rsidRDefault="00BF27EC"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Total expected maximum issuance value according to par value: VND1,560,000,000</w:t>
      </w:r>
    </w:p>
    <w:p w14:paraId="41A44614" w14:textId="77777777" w:rsidR="00BF27EC" w:rsidRPr="00B768F3" w:rsidRDefault="00BF27EC"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Issuance purpose: Share issuance under the Employee Stock Ownership Plan</w:t>
      </w:r>
    </w:p>
    <w:p w14:paraId="56214767" w14:textId="3102FA2D" w:rsidR="00BF27EC" w:rsidRPr="00B768F3" w:rsidRDefault="00BF27EC"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Subjects of the issuance: Member of the Board of Directors, Member of the Supervisory Board, the Board of Management, Chief Accountant, Heads and Deputy of departments, the Manager and the Deputy Manager, Production Managers of affiliated factories.</w:t>
      </w:r>
      <w:r w:rsidR="00C21C46" w:rsidRPr="00B768F3">
        <w:rPr>
          <w:rFonts w:ascii="Arial" w:hAnsi="Arial" w:cs="Arial"/>
          <w:color w:val="010000"/>
          <w:sz w:val="20"/>
        </w:rPr>
        <w:t xml:space="preserve"> The </w:t>
      </w:r>
      <w:r w:rsidRPr="00B768F3">
        <w:rPr>
          <w:rFonts w:ascii="Arial" w:hAnsi="Arial" w:cs="Arial"/>
          <w:color w:val="010000"/>
          <w:sz w:val="20"/>
        </w:rPr>
        <w:t xml:space="preserve">Chair </w:t>
      </w:r>
      <w:r w:rsidR="00C21C46" w:rsidRPr="00B768F3">
        <w:rPr>
          <w:rFonts w:ascii="Arial" w:hAnsi="Arial" w:cs="Arial"/>
          <w:color w:val="010000"/>
          <w:sz w:val="20"/>
        </w:rPr>
        <w:t>and</w:t>
      </w:r>
      <w:r w:rsidRPr="00B768F3">
        <w:rPr>
          <w:rFonts w:ascii="Arial" w:hAnsi="Arial" w:cs="Arial"/>
          <w:color w:val="010000"/>
          <w:sz w:val="20"/>
        </w:rPr>
        <w:t xml:space="preserve"> Vice Chair of the Trade Union, staff who have contributed to the development of VINATEX Danang JSC. The General Meeting of Shareholders authorizes the Board of Directors to decide on the standards, list of subjects eligible to participate in the program and quantity distributed to each subject.</w:t>
      </w:r>
    </w:p>
    <w:p w14:paraId="55BD27F6" w14:textId="77777777" w:rsidR="00BF27EC" w:rsidRPr="00B768F3" w:rsidRDefault="00BF27EC"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Rate of number of issued shares (The number of shares expected to be issued/Total number of outstanding shares): 4.98%.</w:t>
      </w:r>
    </w:p>
    <w:p w14:paraId="54B2F7A2" w14:textId="77777777" w:rsidR="00BF27EC" w:rsidRPr="00B768F3" w:rsidRDefault="00BF27EC"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Issuance price: VND10,000/share.</w:t>
      </w:r>
    </w:p>
    <w:p w14:paraId="70D2F7F0" w14:textId="5A445A60" w:rsidR="00BF27EC" w:rsidRPr="00B768F3" w:rsidRDefault="00BF27EC"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Principle of determining issuance price</w:t>
      </w:r>
      <w:r w:rsidR="00C21C46" w:rsidRPr="00B768F3">
        <w:rPr>
          <w:rFonts w:ascii="Arial" w:hAnsi="Arial" w:cs="Arial"/>
          <w:color w:val="010000"/>
          <w:sz w:val="20"/>
        </w:rPr>
        <w:t>:</w:t>
      </w:r>
      <w:r w:rsidRPr="00B768F3">
        <w:rPr>
          <w:rFonts w:ascii="Arial" w:hAnsi="Arial" w:cs="Arial"/>
          <w:color w:val="010000"/>
          <w:sz w:val="20"/>
        </w:rPr>
        <w:t xml:space="preserve"> Par value</w:t>
      </w:r>
    </w:p>
    <w:p w14:paraId="687E9637" w14:textId="312377A7" w:rsidR="00BF27EC" w:rsidRPr="00B768F3" w:rsidRDefault="00BF27EC"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 xml:space="preserve">Total expected mobilized capital: VND1,560,000,000 </w:t>
      </w:r>
    </w:p>
    <w:p w14:paraId="38B20122" w14:textId="39A1669B" w:rsidR="00B768F3" w:rsidRPr="00B768F3" w:rsidRDefault="00B768F3"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 xml:space="preserve">Principle of determining the number of shares distributed to each subject: The </w:t>
      </w:r>
      <w:r w:rsidRPr="00B768F3">
        <w:rPr>
          <w:rFonts w:ascii="Arial" w:hAnsi="Arial" w:cs="Arial"/>
          <w:color w:val="010000"/>
          <w:sz w:val="20"/>
        </w:rPr>
        <w:t>General Meeting of Shareholders</w:t>
      </w:r>
      <w:r w:rsidRPr="00B768F3">
        <w:rPr>
          <w:rFonts w:ascii="Arial" w:hAnsi="Arial" w:cs="Arial"/>
          <w:color w:val="010000"/>
          <w:sz w:val="20"/>
        </w:rPr>
        <w:t xml:space="preserve"> authorizes the Board of Directors to decide the p</w:t>
      </w:r>
      <w:r w:rsidRPr="00B768F3">
        <w:rPr>
          <w:rFonts w:ascii="Arial" w:hAnsi="Arial" w:cs="Arial"/>
          <w:color w:val="010000"/>
          <w:sz w:val="20"/>
        </w:rPr>
        <w:t>rinciple of determining the number of shares distributed to each subjec</w:t>
      </w:r>
      <w:r w:rsidRPr="00B768F3">
        <w:rPr>
          <w:rFonts w:ascii="Arial" w:hAnsi="Arial" w:cs="Arial"/>
          <w:color w:val="010000"/>
          <w:sz w:val="20"/>
        </w:rPr>
        <w:t>t at the time of issuance</w:t>
      </w:r>
    </w:p>
    <w:p w14:paraId="5B55A8B3" w14:textId="77777777" w:rsidR="00BF27EC" w:rsidRPr="00B768F3" w:rsidRDefault="00BF27EC"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lastRenderedPageBreak/>
        <w:t>Transfer restriction: The number of shares under the ESOP will be restricted for transfer 100% within 02 year after the completion date of the issuance.</w:t>
      </w:r>
    </w:p>
    <w:p w14:paraId="0035CA60" w14:textId="77777777" w:rsidR="00BF27EC" w:rsidRPr="00B768F3" w:rsidRDefault="00BF27EC"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Handling in case an employee quits his job during the transfer restriction commitment period: Employees who can participate in buying shares under the employee option program, if they quit before the stated transfer period expires, must commit to reselling to VINATEX Danang JSC for VND10,000/share.</w:t>
      </w:r>
    </w:p>
    <w:p w14:paraId="2AA17535" w14:textId="4DCF9F33" w:rsidR="00BF27EC" w:rsidRPr="00B768F3" w:rsidRDefault="00BF27EC"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Implementation time: After being notified by the State Securities Commission (SSC) of receiving full issuance report documents, it is expected to be implemented in Q</w:t>
      </w:r>
      <w:r w:rsidR="00B768F3" w:rsidRPr="00B768F3">
        <w:rPr>
          <w:rFonts w:ascii="Arial" w:hAnsi="Arial" w:cs="Arial"/>
          <w:color w:val="010000"/>
          <w:sz w:val="20"/>
        </w:rPr>
        <w:t>3-Q4</w:t>
      </w:r>
      <w:r w:rsidRPr="00B768F3">
        <w:rPr>
          <w:rFonts w:ascii="Arial" w:hAnsi="Arial" w:cs="Arial"/>
          <w:color w:val="010000"/>
          <w:sz w:val="20"/>
        </w:rPr>
        <w:t>/2024.</w:t>
      </w:r>
    </w:p>
    <w:p w14:paraId="0F1A2BCE" w14:textId="77777777" w:rsidR="00BF27EC" w:rsidRPr="00B768F3" w:rsidRDefault="00BF27EC"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Capital use plan: Total proceeds collected from the issuance shall be used for supplementing the working capital of the Company for business activities.</w:t>
      </w:r>
    </w:p>
    <w:p w14:paraId="7A0F2C83" w14:textId="311B499C" w:rsidR="00BF27EC" w:rsidRPr="00B768F3" w:rsidRDefault="00BF27EC"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Solution in case of failure to offer all shares: The expected number of shares not yet offered for sale will be authorized by the General Meeting of Shareholders to the Board of Directors to be sold to other employees so that the selling price is not lower than VND10,000</w:t>
      </w:r>
      <w:r w:rsidR="00C21C46" w:rsidRPr="00B768F3">
        <w:rPr>
          <w:rFonts w:ascii="Arial" w:hAnsi="Arial" w:cs="Arial"/>
          <w:color w:val="010000"/>
          <w:sz w:val="20"/>
        </w:rPr>
        <w:t>/share</w:t>
      </w:r>
      <w:r w:rsidR="00E64256" w:rsidRPr="00B768F3">
        <w:rPr>
          <w:rFonts w:ascii="Arial" w:hAnsi="Arial" w:cs="Arial"/>
          <w:color w:val="010000"/>
          <w:sz w:val="20"/>
        </w:rPr>
        <w:t>.</w:t>
      </w:r>
      <w:r w:rsidRPr="00B768F3">
        <w:rPr>
          <w:rFonts w:ascii="Arial" w:hAnsi="Arial" w:cs="Arial"/>
          <w:color w:val="010000"/>
          <w:sz w:val="20"/>
        </w:rPr>
        <w:t xml:space="preserve"> In case the Board of Directors can not find appropriate employees, the General Meeting of Shareholders authorizes the Board of Directors to decrease the number of shares to be offered in accordance with the number of realized distributed shares</w:t>
      </w:r>
    </w:p>
    <w:p w14:paraId="332BA403" w14:textId="00E0C5A8" w:rsidR="00BF27EC" w:rsidRPr="00B768F3" w:rsidRDefault="00BF27EC"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 xml:space="preserve">Commitment to putting securities into trading on the organized </w:t>
      </w:r>
      <w:r w:rsidR="00C21C46" w:rsidRPr="00B768F3">
        <w:rPr>
          <w:rFonts w:ascii="Arial" w:hAnsi="Arial" w:cs="Arial"/>
          <w:color w:val="010000"/>
          <w:sz w:val="20"/>
        </w:rPr>
        <w:t>security</w:t>
      </w:r>
      <w:r w:rsidRPr="00B768F3">
        <w:rPr>
          <w:rFonts w:ascii="Arial" w:hAnsi="Arial" w:cs="Arial"/>
          <w:color w:val="010000"/>
          <w:sz w:val="20"/>
        </w:rPr>
        <w:t xml:space="preserve"> market: After completing the issuance, the General Meeting of Shareholders approved and authorized the Board of Directors to carry out additional securities registration procedures with Vietnam Securities Depository </w:t>
      </w:r>
      <w:r w:rsidR="00B768F3" w:rsidRPr="00B768F3">
        <w:rPr>
          <w:rFonts w:ascii="Arial" w:hAnsi="Arial" w:cs="Arial"/>
          <w:color w:val="010000"/>
          <w:sz w:val="20"/>
        </w:rPr>
        <w:t>a</w:t>
      </w:r>
      <w:r w:rsidRPr="00B768F3">
        <w:rPr>
          <w:rFonts w:ascii="Arial" w:hAnsi="Arial" w:cs="Arial"/>
          <w:color w:val="010000"/>
          <w:sz w:val="20"/>
        </w:rPr>
        <w:t>nd Clearing Corporation (VSDC) and additional securities trading registration with Hanoi Stock Exchange (HNX).</w:t>
      </w:r>
    </w:p>
    <w:p w14:paraId="3338C5DC" w14:textId="4FE89C14" w:rsidR="00BF27EC" w:rsidRPr="00B768F3" w:rsidRDefault="00BF27EC" w:rsidP="004D4534">
      <w:pPr>
        <w:pStyle w:val="ListParagraph"/>
        <w:widowControl/>
        <w:numPr>
          <w:ilvl w:val="0"/>
          <w:numId w:val="3"/>
        </w:numPr>
        <w:tabs>
          <w:tab w:val="left" w:pos="432"/>
        </w:tabs>
        <w:spacing w:after="120" w:line="360" w:lineRule="auto"/>
        <w:ind w:left="0" w:firstLine="0"/>
        <w:contextualSpacing w:val="0"/>
        <w:rPr>
          <w:rFonts w:ascii="Arial" w:eastAsia="Times New Roman" w:hAnsi="Arial" w:cs="Arial"/>
          <w:color w:val="010000"/>
          <w:sz w:val="20"/>
        </w:rPr>
      </w:pPr>
      <w:r w:rsidRPr="00B768F3">
        <w:rPr>
          <w:rFonts w:ascii="Arial" w:hAnsi="Arial" w:cs="Arial"/>
          <w:color w:val="010000"/>
          <w:sz w:val="20"/>
        </w:rPr>
        <w:t>Approve the change of charter capital: Approve of changing the Charter (</w:t>
      </w:r>
      <w:r w:rsidR="00C21C46" w:rsidRPr="00B768F3">
        <w:rPr>
          <w:rFonts w:ascii="Arial" w:hAnsi="Arial" w:cs="Arial"/>
          <w:color w:val="010000"/>
          <w:sz w:val="20"/>
        </w:rPr>
        <w:t xml:space="preserve">the items of the </w:t>
      </w:r>
      <w:r w:rsidRPr="00B768F3">
        <w:rPr>
          <w:rFonts w:ascii="Arial" w:hAnsi="Arial" w:cs="Arial"/>
          <w:color w:val="010000"/>
          <w:sz w:val="20"/>
        </w:rPr>
        <w:t>Charter capital, shares, founding shareholders) and adjusting the Business Registration Certificate at the Department of Planning and Investment of Da Nang City after the announcement of the State Securities Commission on full receipt of the issuance results report.</w:t>
      </w:r>
    </w:p>
    <w:p w14:paraId="4870B8F7" w14:textId="7777777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Article 9: Implementation and validity</w:t>
      </w:r>
    </w:p>
    <w:p w14:paraId="2774B32C" w14:textId="2CF6FDB7" w:rsidR="00753B41" w:rsidRPr="00B768F3" w:rsidRDefault="00BF27EC" w:rsidP="004D4534">
      <w:pPr>
        <w:pBdr>
          <w:top w:val="nil"/>
          <w:left w:val="nil"/>
          <w:bottom w:val="nil"/>
          <w:right w:val="nil"/>
          <w:between w:val="nil"/>
        </w:pBdr>
        <w:spacing w:after="120" w:line="360" w:lineRule="auto"/>
        <w:rPr>
          <w:rFonts w:ascii="Arial" w:eastAsia="Arial" w:hAnsi="Arial" w:cs="Arial"/>
          <w:color w:val="010000"/>
          <w:sz w:val="20"/>
          <w:szCs w:val="20"/>
        </w:rPr>
      </w:pPr>
      <w:r w:rsidRPr="00B768F3">
        <w:rPr>
          <w:rFonts w:ascii="Arial" w:hAnsi="Arial" w:cs="Arial"/>
          <w:color w:val="010000"/>
          <w:sz w:val="20"/>
        </w:rPr>
        <w:t xml:space="preserve">This General Mandate was approved in full </w:t>
      </w:r>
      <w:r w:rsidR="00C21C46" w:rsidRPr="00B768F3">
        <w:rPr>
          <w:rFonts w:ascii="Arial" w:hAnsi="Arial" w:cs="Arial"/>
          <w:color w:val="010000"/>
          <w:sz w:val="20"/>
        </w:rPr>
        <w:t xml:space="preserve">text </w:t>
      </w:r>
      <w:r w:rsidRPr="00B768F3">
        <w:rPr>
          <w:rFonts w:ascii="Arial" w:hAnsi="Arial" w:cs="Arial"/>
          <w:color w:val="010000"/>
          <w:sz w:val="20"/>
        </w:rPr>
        <w:t>by the Annual General Meeting of Shareholders 2024 of VINATEX Danang JSC at the meeting and takes effect from June 21, 2024.</w:t>
      </w:r>
    </w:p>
    <w:p w14:paraId="430A77D9" w14:textId="5B4D400C" w:rsidR="00753B41" w:rsidRPr="00B768F3" w:rsidRDefault="00BF27EC" w:rsidP="004D4534">
      <w:pPr>
        <w:pBdr>
          <w:top w:val="nil"/>
          <w:left w:val="nil"/>
          <w:bottom w:val="nil"/>
          <w:right w:val="nil"/>
          <w:between w:val="nil"/>
        </w:pBdr>
        <w:tabs>
          <w:tab w:val="left" w:pos="9067"/>
        </w:tabs>
        <w:spacing w:after="120" w:line="360" w:lineRule="auto"/>
        <w:rPr>
          <w:rFonts w:ascii="Arial" w:eastAsia="Arial" w:hAnsi="Arial" w:cs="Arial"/>
          <w:color w:val="010000"/>
          <w:sz w:val="20"/>
          <w:szCs w:val="20"/>
        </w:rPr>
      </w:pPr>
      <w:r w:rsidRPr="00B768F3">
        <w:rPr>
          <w:rFonts w:ascii="Arial" w:hAnsi="Arial" w:cs="Arial"/>
          <w:color w:val="010000"/>
          <w:sz w:val="20"/>
        </w:rPr>
        <w:t>The Board of Directors, the Supervisory Board, and the Board of Management are responsible for organizing the implement</w:t>
      </w:r>
      <w:r w:rsidR="00C21C46" w:rsidRPr="00B768F3">
        <w:rPr>
          <w:rFonts w:ascii="Arial" w:hAnsi="Arial" w:cs="Arial"/>
          <w:color w:val="010000"/>
          <w:sz w:val="20"/>
        </w:rPr>
        <w:t xml:space="preserve">ation of this General Mandate. </w:t>
      </w:r>
    </w:p>
    <w:sectPr w:rsidR="00753B41" w:rsidRPr="00B768F3" w:rsidSect="004D453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1E0"/>
    <w:multiLevelType w:val="multilevel"/>
    <w:tmpl w:val="01DCD77C"/>
    <w:lvl w:ilvl="0">
      <w:start w:val="1"/>
      <w:numFmt w:val="bullet"/>
      <w:lvlText w:val="-"/>
      <w:lvlJc w:val="left"/>
      <w:pPr>
        <w:ind w:left="0" w:firstLine="0"/>
      </w:pPr>
      <w:rPr>
        <w:rFonts w:ascii="Arial" w:eastAsia="Arial" w:hAnsi="Arial" w:cs="Arial"/>
        <w:b w:val="0"/>
        <w:i w:val="0"/>
        <w:smallCaps w:val="0"/>
        <w:strike w:val="0"/>
        <w:color w:val="20202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CCC7388"/>
    <w:multiLevelType w:val="hybridMultilevel"/>
    <w:tmpl w:val="8AE612F6"/>
    <w:lvl w:ilvl="0" w:tplc="5CFEF8D4">
      <w:start w:val="6"/>
      <w:numFmt w:val="bullet"/>
      <w:lvlText w:val="-"/>
      <w:lvlJc w:val="left"/>
      <w:pPr>
        <w:ind w:left="930" w:hanging="570"/>
      </w:pPr>
      <w:rPr>
        <w:rFonts w:ascii="Arial" w:eastAsia="Times New Roman" w:hAnsi="Arial" w:cs="Arial" w:hint="default"/>
        <w:b w:val="0"/>
        <w:i w:val="0"/>
        <w:color w:val="000000"/>
        <w:sz w:val="20"/>
      </w:rPr>
    </w:lvl>
    <w:lvl w:ilvl="1" w:tplc="5492D59A" w:tentative="1">
      <w:start w:val="1"/>
      <w:numFmt w:val="bullet"/>
      <w:lvlText w:val="o"/>
      <w:lvlJc w:val="left"/>
      <w:pPr>
        <w:ind w:left="1440" w:hanging="360"/>
      </w:pPr>
      <w:rPr>
        <w:rFonts w:ascii="Courier New" w:hAnsi="Courier New" w:cs="Courier New" w:hint="default"/>
        <w:b w:val="0"/>
        <w:i w:val="0"/>
        <w:sz w:val="20"/>
      </w:rPr>
    </w:lvl>
    <w:lvl w:ilvl="2" w:tplc="A81E2A36"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E042780"/>
    <w:multiLevelType w:val="hybridMultilevel"/>
    <w:tmpl w:val="B942A89C"/>
    <w:lvl w:ilvl="0" w:tplc="3D66C26E">
      <w:start w:val="1"/>
      <w:numFmt w:val="bullet"/>
      <w:lvlText w:val=""/>
      <w:lvlJc w:val="left"/>
      <w:pPr>
        <w:ind w:left="720" w:hanging="360"/>
      </w:pPr>
      <w:rPr>
        <w:rFonts w:ascii="Symbol" w:hAnsi="Symbol" w:hint="default"/>
        <w:b w:val="0"/>
        <w:i w:val="0"/>
        <w:sz w:val="20"/>
      </w:rPr>
    </w:lvl>
    <w:lvl w:ilvl="1" w:tplc="CFC8C5BE">
      <w:start w:val="1"/>
      <w:numFmt w:val="bullet"/>
      <w:lvlText w:val="o"/>
      <w:lvlJc w:val="left"/>
      <w:pPr>
        <w:ind w:left="1440" w:hanging="360"/>
      </w:pPr>
      <w:rPr>
        <w:rFonts w:ascii="Courier New" w:hAnsi="Courier New" w:cs="Courier New" w:hint="default"/>
        <w:b w:val="0"/>
        <w:i w:val="0"/>
        <w:sz w:val="20"/>
      </w:rPr>
    </w:lvl>
    <w:lvl w:ilvl="2" w:tplc="FBFA3110"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48A3FF9"/>
    <w:multiLevelType w:val="hybridMultilevel"/>
    <w:tmpl w:val="3FAAE58A"/>
    <w:lvl w:ilvl="0" w:tplc="E16EBAA8">
      <w:start w:val="1"/>
      <w:numFmt w:val="decimal"/>
      <w:lvlText w:val="%1."/>
      <w:lvlJc w:val="left"/>
      <w:pPr>
        <w:ind w:left="720" w:hanging="360"/>
      </w:pPr>
      <w:rPr>
        <w:rFonts w:hint="default"/>
        <w:b w:val="0"/>
        <w:i w:val="0"/>
        <w:color w:val="000000"/>
        <w:sz w:val="20"/>
      </w:rPr>
    </w:lvl>
    <w:lvl w:ilvl="1" w:tplc="8D68382E" w:tentative="1">
      <w:start w:val="1"/>
      <w:numFmt w:val="lowerLetter"/>
      <w:lvlText w:val="%2."/>
      <w:lvlJc w:val="left"/>
      <w:pPr>
        <w:ind w:left="1440" w:hanging="360"/>
      </w:pPr>
      <w:rPr>
        <w:b w:val="0"/>
        <w:i w:val="0"/>
        <w:sz w:val="20"/>
      </w:rPr>
    </w:lvl>
    <w:lvl w:ilvl="2" w:tplc="96444E6C"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41"/>
    <w:rsid w:val="000C358C"/>
    <w:rsid w:val="00303F4F"/>
    <w:rsid w:val="004D4534"/>
    <w:rsid w:val="00753B41"/>
    <w:rsid w:val="009E5D13"/>
    <w:rsid w:val="00B768F3"/>
    <w:rsid w:val="00BF27EC"/>
    <w:rsid w:val="00C21C46"/>
    <w:rsid w:val="00C271D9"/>
    <w:rsid w:val="00E64256"/>
    <w:rsid w:val="00F75B4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2E82B"/>
  <w15:docId w15:val="{38054482-7D41-422A-AF6A-37ADADEB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20202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202020"/>
      <w:sz w:val="19"/>
      <w:szCs w:val="19"/>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0202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DE4B74"/>
      <w:sz w:val="18"/>
      <w:szCs w:val="18"/>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color w:val="20202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20202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202020"/>
      <w:sz w:val="26"/>
      <w:szCs w:val="26"/>
      <w:u w:val="singl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02020"/>
      <w:sz w:val="26"/>
      <w:szCs w:val="26"/>
      <w:u w:val="none"/>
      <w:shd w:val="clear" w:color="auto" w:fill="auto"/>
    </w:rPr>
  </w:style>
  <w:style w:type="character" w:customStyle="1" w:styleId="Heading10">
    <w:name w:val="Heading #1_"/>
    <w:basedOn w:val="DefaultParagraphFont"/>
    <w:link w:val="Heading11"/>
    <w:rPr>
      <w:rFonts w:ascii="Calibri" w:eastAsia="Calibri" w:hAnsi="Calibri" w:cs="Calibri"/>
      <w:b w:val="0"/>
      <w:bCs w:val="0"/>
      <w:i/>
      <w:iCs/>
      <w:smallCaps w:val="0"/>
      <w:strike w:val="0"/>
      <w:color w:val="E33763"/>
      <w:sz w:val="34"/>
      <w:szCs w:val="34"/>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color w:val="202020"/>
      <w:sz w:val="20"/>
      <w:szCs w:val="20"/>
    </w:rPr>
  </w:style>
  <w:style w:type="paragraph" w:customStyle="1" w:styleId="Bodytext40">
    <w:name w:val="Body text (4)"/>
    <w:basedOn w:val="Normal"/>
    <w:link w:val="Bodytext4"/>
    <w:pPr>
      <w:spacing w:line="259" w:lineRule="auto"/>
      <w:jc w:val="center"/>
    </w:pPr>
    <w:rPr>
      <w:rFonts w:ascii="Times New Roman" w:eastAsia="Times New Roman" w:hAnsi="Times New Roman" w:cs="Times New Roman"/>
      <w:b/>
      <w:bCs/>
      <w:color w:val="202020"/>
      <w:sz w:val="19"/>
      <w:szCs w:val="19"/>
    </w:rPr>
  </w:style>
  <w:style w:type="paragraph" w:customStyle="1" w:styleId="Heading21">
    <w:name w:val="Heading #2"/>
    <w:basedOn w:val="Normal"/>
    <w:link w:val="Heading20"/>
    <w:pPr>
      <w:spacing w:line="269" w:lineRule="auto"/>
      <w:jc w:val="center"/>
      <w:outlineLvl w:val="1"/>
    </w:pPr>
    <w:rPr>
      <w:rFonts w:ascii="Times New Roman" w:eastAsia="Times New Roman" w:hAnsi="Times New Roman" w:cs="Times New Roman"/>
      <w:b/>
      <w:bCs/>
      <w:sz w:val="30"/>
      <w:szCs w:val="30"/>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color w:val="202020"/>
      <w:sz w:val="26"/>
      <w:szCs w:val="26"/>
    </w:rPr>
  </w:style>
  <w:style w:type="paragraph" w:customStyle="1" w:styleId="Bodytext50">
    <w:name w:val="Body text (5)"/>
    <w:basedOn w:val="Normal"/>
    <w:link w:val="Bodytext5"/>
    <w:pPr>
      <w:spacing w:line="154" w:lineRule="auto"/>
    </w:pPr>
    <w:rPr>
      <w:rFonts w:ascii="Arial" w:eastAsia="Arial" w:hAnsi="Arial" w:cs="Arial"/>
      <w:color w:val="DE4B74"/>
      <w:sz w:val="18"/>
      <w:szCs w:val="18"/>
    </w:rPr>
  </w:style>
  <w:style w:type="paragraph" w:customStyle="1" w:styleId="Tableofcontents0">
    <w:name w:val="Table of contents"/>
    <w:basedOn w:val="Normal"/>
    <w:link w:val="Tableofcontents"/>
    <w:pPr>
      <w:spacing w:line="257" w:lineRule="auto"/>
      <w:ind w:firstLine="140"/>
    </w:pPr>
    <w:rPr>
      <w:rFonts w:ascii="Times New Roman" w:eastAsia="Times New Roman" w:hAnsi="Times New Roman" w:cs="Times New Roman"/>
      <w:color w:val="202020"/>
      <w:sz w:val="26"/>
      <w:szCs w:val="26"/>
    </w:rPr>
  </w:style>
  <w:style w:type="paragraph" w:customStyle="1" w:styleId="Bodytext30">
    <w:name w:val="Body text (3)"/>
    <w:basedOn w:val="Normal"/>
    <w:link w:val="Bodytext3"/>
    <w:rPr>
      <w:rFonts w:ascii="Times New Roman" w:eastAsia="Times New Roman" w:hAnsi="Times New Roman" w:cs="Times New Roman"/>
      <w:color w:val="202020"/>
      <w:sz w:val="17"/>
      <w:szCs w:val="17"/>
    </w:rPr>
  </w:style>
  <w:style w:type="paragraph" w:customStyle="1" w:styleId="Tablecaption0">
    <w:name w:val="Table caption"/>
    <w:basedOn w:val="Normal"/>
    <w:link w:val="Tablecaption"/>
    <w:rPr>
      <w:rFonts w:ascii="Times New Roman" w:eastAsia="Times New Roman" w:hAnsi="Times New Roman" w:cs="Times New Roman"/>
      <w:b/>
      <w:bCs/>
      <w:color w:val="202020"/>
      <w:sz w:val="26"/>
      <w:szCs w:val="26"/>
      <w:u w:val="single"/>
    </w:rPr>
  </w:style>
  <w:style w:type="paragraph" w:customStyle="1" w:styleId="Other0">
    <w:name w:val="Other"/>
    <w:basedOn w:val="Normal"/>
    <w:link w:val="Other"/>
    <w:pPr>
      <w:spacing w:line="259" w:lineRule="auto"/>
      <w:ind w:firstLine="400"/>
    </w:pPr>
    <w:rPr>
      <w:rFonts w:ascii="Times New Roman" w:eastAsia="Times New Roman" w:hAnsi="Times New Roman" w:cs="Times New Roman"/>
      <w:color w:val="202020"/>
      <w:sz w:val="26"/>
      <w:szCs w:val="26"/>
    </w:rPr>
  </w:style>
  <w:style w:type="paragraph" w:customStyle="1" w:styleId="Heading11">
    <w:name w:val="Heading #1"/>
    <w:basedOn w:val="Normal"/>
    <w:link w:val="Heading10"/>
    <w:pPr>
      <w:outlineLvl w:val="0"/>
    </w:pPr>
    <w:rPr>
      <w:rFonts w:ascii="Calibri" w:eastAsia="Calibri" w:hAnsi="Calibri" w:cs="Calibri"/>
      <w:i/>
      <w:iCs/>
      <w:color w:val="E33763"/>
      <w:sz w:val="34"/>
      <w:szCs w:val="34"/>
    </w:rPr>
  </w:style>
  <w:style w:type="character" w:styleId="Hyperlink">
    <w:name w:val="Hyperlink"/>
    <w:basedOn w:val="DefaultParagraphFont"/>
    <w:uiPriority w:val="99"/>
    <w:unhideWhenUsed/>
    <w:rsid w:val="004C7411"/>
    <w:rPr>
      <w:color w:val="0563C1" w:themeColor="hyperlink"/>
      <w:u w:val="single"/>
    </w:rPr>
  </w:style>
  <w:style w:type="character" w:customStyle="1" w:styleId="UnresolvedMention1">
    <w:name w:val="Unresolved Mention1"/>
    <w:basedOn w:val="DefaultParagraphFont"/>
    <w:uiPriority w:val="99"/>
    <w:semiHidden/>
    <w:unhideWhenUsed/>
    <w:rsid w:val="004C741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C27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LMkD8GDByDb5/IfOLQYym7XKfg==">CgMxLjA4AHIhMV83Tk51VWxfeVBZanRZZ295UG81RFhiRUx0cjFYVkdj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940</Words>
  <Characters>5238</Characters>
  <Application>Microsoft Office Word</Application>
  <DocSecurity>0</DocSecurity>
  <Lines>116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9</cp:revision>
  <dcterms:created xsi:type="dcterms:W3CDTF">2024-06-25T04:49:00Z</dcterms:created>
  <dcterms:modified xsi:type="dcterms:W3CDTF">2024-06-26T11:53:00Z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88f3fb00b340b4422adb3c75267c8681f157a874e0bc3b44b22f6c6f8acdeab1</vt:lpwstr>
  </property>
</Properties>
</file>