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BBA1" w14:textId="4D507420" w:rsidR="009773C5" w:rsidRPr="008D51F3" w:rsidRDefault="004F6412" w:rsidP="00CD11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D51F3">
        <w:rPr>
          <w:rFonts w:ascii="Arial" w:hAnsi="Arial" w:cs="Arial"/>
          <w:b/>
          <w:bCs/>
          <w:color w:val="010000"/>
          <w:sz w:val="20"/>
        </w:rPr>
        <w:t>HD6:</w:t>
      </w:r>
      <w:r w:rsidRPr="008D51F3">
        <w:rPr>
          <w:rFonts w:ascii="Arial" w:hAnsi="Arial" w:cs="Arial"/>
          <w:b/>
          <w:color w:val="010000"/>
          <w:sz w:val="20"/>
        </w:rPr>
        <w:t xml:space="preserve"> Explanation </w:t>
      </w:r>
      <w:r w:rsidR="00CD11DE">
        <w:rPr>
          <w:rFonts w:ascii="Arial" w:hAnsi="Arial" w:cs="Arial"/>
          <w:b/>
          <w:color w:val="010000"/>
          <w:sz w:val="20"/>
        </w:rPr>
        <w:t>on</w:t>
      </w:r>
      <w:r w:rsidRPr="008D51F3">
        <w:rPr>
          <w:rFonts w:ascii="Arial" w:hAnsi="Arial" w:cs="Arial"/>
          <w:b/>
          <w:color w:val="010000"/>
          <w:sz w:val="20"/>
        </w:rPr>
        <w:t xml:space="preserve"> Financial Statements 2023</w:t>
      </w:r>
    </w:p>
    <w:p w14:paraId="4F0D122A" w14:textId="77777777" w:rsidR="009773C5" w:rsidRPr="008D51F3" w:rsidRDefault="004F6412" w:rsidP="00CD11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1F3">
        <w:rPr>
          <w:rFonts w:ascii="Arial" w:hAnsi="Arial" w:cs="Arial"/>
          <w:color w:val="010000"/>
          <w:sz w:val="20"/>
        </w:rPr>
        <w:t xml:space="preserve">On June 25, 2024, Hanoi Housing Development and Investment Joint Stock Company No 6 announced Official Dispatch </w:t>
      </w:r>
      <w:r w:rsidR="009F0614" w:rsidRPr="008D51F3">
        <w:rPr>
          <w:rFonts w:ascii="Arial" w:hAnsi="Arial" w:cs="Arial"/>
          <w:color w:val="010000"/>
          <w:sz w:val="20"/>
        </w:rPr>
        <w:t xml:space="preserve">No. </w:t>
      </w:r>
      <w:r w:rsidRPr="008D51F3">
        <w:rPr>
          <w:rFonts w:ascii="Arial" w:hAnsi="Arial" w:cs="Arial"/>
          <w:color w:val="010000"/>
          <w:sz w:val="20"/>
        </w:rPr>
        <w:t>25.6/HANDICO6 on explaining the difference in the Separate Financial Statements before and after auditing in 2023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8"/>
        <w:gridCol w:w="2362"/>
        <w:gridCol w:w="1562"/>
        <w:gridCol w:w="1500"/>
        <w:gridCol w:w="1509"/>
        <w:gridCol w:w="1666"/>
      </w:tblGrid>
      <w:tr w:rsidR="009773C5" w:rsidRPr="008D51F3" w14:paraId="3FABB097" w14:textId="77777777" w:rsidTr="004D26A8">
        <w:tc>
          <w:tcPr>
            <w:tcW w:w="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EA6B4" w14:textId="77777777" w:rsidR="009773C5" w:rsidRPr="008D51F3" w:rsidRDefault="009F0614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323C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A28C0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In 2023, before auditing (Unit: VND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A1874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In 2023, after auditing (Unit: VND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8F7A7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Difference (Unit: VND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18F84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Increase/decrease (%)</w:t>
            </w:r>
          </w:p>
        </w:tc>
      </w:tr>
      <w:tr w:rsidR="009773C5" w:rsidRPr="008D51F3" w14:paraId="2C4F21FD" w14:textId="77777777" w:rsidTr="004D26A8">
        <w:tc>
          <w:tcPr>
            <w:tcW w:w="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27197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C7470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BCA92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24,856,543,315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733BB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15,414,107,479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86DF6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-9,442,435,836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F7F30" w14:textId="77777777" w:rsidR="009773C5" w:rsidRPr="008D51F3" w:rsidRDefault="004F6412" w:rsidP="004D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1F3">
              <w:rPr>
                <w:rFonts w:ascii="Arial" w:hAnsi="Arial" w:cs="Arial"/>
                <w:color w:val="010000"/>
                <w:sz w:val="20"/>
              </w:rPr>
              <w:t>-37.99%</w:t>
            </w:r>
          </w:p>
        </w:tc>
      </w:tr>
    </w:tbl>
    <w:p w14:paraId="72D7C0AC" w14:textId="77777777" w:rsidR="009773C5" w:rsidRPr="008D51F3" w:rsidRDefault="004F6412" w:rsidP="00CD11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1F3">
        <w:rPr>
          <w:rFonts w:ascii="Arial" w:hAnsi="Arial" w:cs="Arial"/>
          <w:color w:val="010000"/>
          <w:sz w:val="20"/>
        </w:rPr>
        <w:t>Reasons for the difference:</w:t>
      </w:r>
    </w:p>
    <w:p w14:paraId="5A07778D" w14:textId="77777777" w:rsidR="009773C5" w:rsidRPr="008D51F3" w:rsidRDefault="004F6412" w:rsidP="00CD1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1F3">
        <w:rPr>
          <w:rFonts w:ascii="Arial" w:hAnsi="Arial" w:cs="Arial"/>
          <w:color w:val="010000"/>
          <w:sz w:val="20"/>
        </w:rPr>
        <w:t xml:space="preserve">Profit after tax in the Company's Separate </w:t>
      </w:r>
      <w:r w:rsidR="0039309E" w:rsidRPr="008D51F3">
        <w:rPr>
          <w:rFonts w:ascii="Arial" w:hAnsi="Arial" w:cs="Arial"/>
          <w:color w:val="010000"/>
          <w:sz w:val="20"/>
        </w:rPr>
        <w:t>Financial Statements</w:t>
      </w:r>
      <w:r w:rsidRPr="008D51F3">
        <w:rPr>
          <w:rFonts w:ascii="Arial" w:hAnsi="Arial" w:cs="Arial"/>
          <w:color w:val="010000"/>
          <w:sz w:val="20"/>
        </w:rPr>
        <w:t xml:space="preserve"> in 2023 before auditing compared to that after auditing decreased by VND9.442 billion, equivalent to a decrease of 37.99% due to the following main reasons:</w:t>
      </w:r>
    </w:p>
    <w:p w14:paraId="6B8239CE" w14:textId="77777777" w:rsidR="009773C5" w:rsidRPr="008D51F3" w:rsidRDefault="004F6412" w:rsidP="00CD1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1F3">
        <w:rPr>
          <w:rFonts w:ascii="Arial" w:hAnsi="Arial" w:cs="Arial"/>
          <w:color w:val="010000"/>
          <w:sz w:val="20"/>
        </w:rPr>
        <w:t>Revenue from financial activities decreased by VND9.650 billion, equivalent to a decrease of 27.76%. This is due to the reevaluation audit of profit from the sale of real estate project E1 Ha Long under the Subsidiary in 2023, leading to a decrease in the Holding Company’s dividends collected from the Subsidiary and a subsequent decline in revenue from financial activities.</w:t>
      </w:r>
    </w:p>
    <w:p w14:paraId="7DF08F04" w14:textId="6F671DA4" w:rsidR="009773C5" w:rsidRPr="008D51F3" w:rsidRDefault="004F6412" w:rsidP="00CD1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1F3">
        <w:rPr>
          <w:rFonts w:ascii="Arial" w:hAnsi="Arial" w:cs="Arial"/>
          <w:color w:val="010000"/>
          <w:sz w:val="20"/>
        </w:rPr>
        <w:t>The current corporate income tax decreased by VND0.2 billion, equivalent to a decrease of 70.43% due to reconciliation and reevaluation. As a result, the corporate income tax for</w:t>
      </w:r>
      <w:r w:rsidR="00CD11DE">
        <w:rPr>
          <w:rFonts w:ascii="Arial" w:hAnsi="Arial" w:cs="Arial"/>
          <w:color w:val="010000"/>
          <w:sz w:val="20"/>
        </w:rPr>
        <w:t xml:space="preserve"> the year reduced after audit compared to before audit</w:t>
      </w:r>
      <w:bookmarkStart w:id="0" w:name="_GoBack"/>
      <w:bookmarkEnd w:id="0"/>
      <w:r w:rsidRPr="008D51F3">
        <w:rPr>
          <w:rFonts w:ascii="Arial" w:hAnsi="Arial" w:cs="Arial"/>
          <w:color w:val="010000"/>
          <w:sz w:val="20"/>
        </w:rPr>
        <w:t>.</w:t>
      </w:r>
    </w:p>
    <w:sectPr w:rsidR="009773C5" w:rsidRPr="008D51F3" w:rsidSect="004D26A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4C8B"/>
    <w:multiLevelType w:val="multilevel"/>
    <w:tmpl w:val="24264D58"/>
    <w:lvl w:ilvl="0"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F250D8"/>
    <w:multiLevelType w:val="multilevel"/>
    <w:tmpl w:val="E1D09A5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5"/>
    <w:rsid w:val="0039309E"/>
    <w:rsid w:val="004D26A8"/>
    <w:rsid w:val="004F6412"/>
    <w:rsid w:val="008D51F3"/>
    <w:rsid w:val="009773C5"/>
    <w:rsid w:val="009F0614"/>
    <w:rsid w:val="00C60ED3"/>
    <w:rsid w:val="00C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C7421"/>
  <w15:docId w15:val="{8154252E-90B3-445D-8E03-8B559AFB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2230"/>
    </w:pPr>
    <w:rPr>
      <w:rFonts w:ascii="Arial" w:eastAsia="Arial" w:hAnsi="Arial" w:cs="Arial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mallCaps/>
      <w:sz w:val="28"/>
      <w:szCs w:val="28"/>
    </w:rPr>
  </w:style>
  <w:style w:type="paragraph" w:customStyle="1" w:styleId="Khc0">
    <w:name w:val="Khác"/>
    <w:basedOn w:val="Normal"/>
    <w:link w:val="Khc"/>
    <w:pPr>
      <w:spacing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RQc5uG0DkyW/Rz9qQdbXNQnFA==">CgMxLjA4AHIhMXlySm5iZXlwM3pHVnM1QXZXZFkzakNDMDhkUk1EcVY3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2024-06-28T02:44:00Z</dcterms:created>
  <dcterms:modified xsi:type="dcterms:W3CDTF">2024-06-28T02:44:00Z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a2b01de2f0047f2b51104c9f33319ae4cf4d1b7747b464f357fe1ed011ae41b3</vt:lpwstr>
  </property>
</Properties>
</file>