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78540" w14:textId="77777777" w:rsidR="009B3EDB" w:rsidRPr="00583A81" w:rsidRDefault="00A66A08" w:rsidP="000C20E8">
      <w:pPr>
        <w:widowControl/>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583A81">
        <w:rPr>
          <w:rFonts w:ascii="Arial" w:hAnsi="Arial" w:cs="Arial"/>
          <w:b/>
          <w:color w:val="010000"/>
          <w:sz w:val="20"/>
        </w:rPr>
        <w:t>NVB: Board Resolution</w:t>
      </w:r>
    </w:p>
    <w:p w14:paraId="073FCD08" w14:textId="77777777" w:rsidR="009B3EDB" w:rsidRPr="00583A81" w:rsidRDefault="00A66A08" w:rsidP="000C20E8">
      <w:pPr>
        <w:widowControl/>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 xml:space="preserve">On June 24, 2024, National Citizen Commercial Joint Stock Bank announced Resolution </w:t>
      </w:r>
      <w:r w:rsidR="00FA0E36" w:rsidRPr="00583A81">
        <w:rPr>
          <w:rFonts w:ascii="Arial" w:hAnsi="Arial" w:cs="Arial"/>
          <w:color w:val="010000"/>
          <w:sz w:val="20"/>
        </w:rPr>
        <w:t xml:space="preserve">No. </w:t>
      </w:r>
      <w:r w:rsidRPr="00583A81">
        <w:rPr>
          <w:rFonts w:ascii="Arial" w:hAnsi="Arial" w:cs="Arial"/>
          <w:color w:val="010000"/>
          <w:sz w:val="20"/>
        </w:rPr>
        <w:t>1387/2024/NQ-HDQT.NCB on approving on supplementing and clarifying the plan on ensuring foreign ownership rate, detailed plan on using capital obtained from the offering as follows:</w:t>
      </w:r>
    </w:p>
    <w:p w14:paraId="35A96B26"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Article 1: Approve the following contents:</w:t>
      </w:r>
    </w:p>
    <w:p w14:paraId="3F804FF8" w14:textId="77777777" w:rsidR="009B3EDB" w:rsidRPr="00583A81" w:rsidRDefault="00A66A08" w:rsidP="000C20E8">
      <w:pPr>
        <w:keepNext/>
        <w:numPr>
          <w:ilvl w:val="1"/>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83A81">
        <w:rPr>
          <w:rFonts w:ascii="Arial" w:hAnsi="Arial" w:cs="Arial"/>
          <w:color w:val="010000"/>
          <w:sz w:val="20"/>
        </w:rPr>
        <w:t>Approve on supplementing and c</w:t>
      </w:r>
      <w:bookmarkStart w:id="0" w:name="_GoBack"/>
      <w:bookmarkEnd w:id="0"/>
      <w:r w:rsidRPr="00583A81">
        <w:rPr>
          <w:rFonts w:ascii="Arial" w:hAnsi="Arial" w:cs="Arial"/>
          <w:color w:val="010000"/>
          <w:sz w:val="20"/>
        </w:rPr>
        <w:t xml:space="preserve">larifying the plan on ensuring the maximum foreign ownership rate according to the provisions of law in Resolution </w:t>
      </w:r>
      <w:r w:rsidR="00FA0E36" w:rsidRPr="00583A81">
        <w:rPr>
          <w:rFonts w:ascii="Arial" w:hAnsi="Arial" w:cs="Arial"/>
          <w:color w:val="010000"/>
          <w:sz w:val="20"/>
        </w:rPr>
        <w:t xml:space="preserve">No. </w:t>
      </w:r>
      <w:r w:rsidRPr="00583A81">
        <w:rPr>
          <w:rFonts w:ascii="Arial" w:hAnsi="Arial" w:cs="Arial"/>
          <w:color w:val="010000"/>
          <w:sz w:val="20"/>
        </w:rPr>
        <w:t>857:</w:t>
      </w:r>
    </w:p>
    <w:p w14:paraId="3888BBA7" w14:textId="77777777" w:rsidR="009B3EDB" w:rsidRPr="00583A81" w:rsidRDefault="004D1662"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For</w:t>
      </w:r>
      <w:r w:rsidR="00A66A08" w:rsidRPr="00583A81">
        <w:rPr>
          <w:rFonts w:ascii="Arial" w:hAnsi="Arial" w:cs="Arial"/>
          <w:color w:val="010000"/>
          <w:sz w:val="20"/>
        </w:rPr>
        <w:t xml:space="preserve"> the private placement to ensure the maximum foreign ownership rate at the Bank as prescribed in the Charter of National Citizen Commercial Joint Stock Bank and in accordance with the provisions of law, the Board of Directors will only offer to domestic investors.</w:t>
      </w:r>
    </w:p>
    <w:p w14:paraId="7093D859" w14:textId="77777777" w:rsidR="009B3EDB" w:rsidRPr="00583A81" w:rsidRDefault="00A66A08" w:rsidP="000C20E8">
      <w:pPr>
        <w:numPr>
          <w:ilvl w:val="1"/>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83A81">
        <w:rPr>
          <w:rFonts w:ascii="Arial" w:hAnsi="Arial" w:cs="Arial"/>
          <w:color w:val="010000"/>
          <w:sz w:val="20"/>
        </w:rPr>
        <w:t>Approve the detailed plan for using capital obtained from the offering that was approved in</w:t>
      </w:r>
      <w:r w:rsidR="00FA0E36" w:rsidRPr="00583A81">
        <w:rPr>
          <w:rFonts w:ascii="Arial" w:hAnsi="Arial" w:cs="Arial"/>
          <w:color w:val="010000"/>
          <w:sz w:val="20"/>
        </w:rPr>
        <w:t xml:space="preserve"> </w:t>
      </w:r>
      <w:r w:rsidRPr="00583A81">
        <w:rPr>
          <w:rFonts w:ascii="Arial" w:hAnsi="Arial" w:cs="Arial"/>
          <w:color w:val="010000"/>
          <w:sz w:val="20"/>
        </w:rPr>
        <w:t xml:space="preserve">Resolution </w:t>
      </w:r>
      <w:r w:rsidR="00FA0E36" w:rsidRPr="00583A81">
        <w:rPr>
          <w:rFonts w:ascii="Arial" w:hAnsi="Arial" w:cs="Arial"/>
          <w:color w:val="010000"/>
          <w:sz w:val="20"/>
        </w:rPr>
        <w:t xml:space="preserve">No. </w:t>
      </w:r>
      <w:r w:rsidRPr="00583A81">
        <w:rPr>
          <w:rFonts w:ascii="Arial" w:hAnsi="Arial" w:cs="Arial"/>
          <w:color w:val="010000"/>
          <w:sz w:val="20"/>
        </w:rPr>
        <w:t xml:space="preserve">857, General Mandate 2024, and replace the detailed plan on using capital approved by the Board of Directors in Article 3, Resolution </w:t>
      </w:r>
      <w:r w:rsidR="00FA0E36" w:rsidRPr="00583A81">
        <w:rPr>
          <w:rFonts w:ascii="Arial" w:hAnsi="Arial" w:cs="Arial"/>
          <w:color w:val="010000"/>
          <w:sz w:val="20"/>
        </w:rPr>
        <w:t xml:space="preserve">No. </w:t>
      </w:r>
      <w:r w:rsidRPr="00583A81">
        <w:rPr>
          <w:rFonts w:ascii="Arial" w:hAnsi="Arial" w:cs="Arial"/>
          <w:color w:val="010000"/>
          <w:sz w:val="20"/>
        </w:rPr>
        <w:t>1156, specifically:</w:t>
      </w:r>
    </w:p>
    <w:p w14:paraId="72DFB0A3"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Total proceeds from the private placement to investors are expected to be</w:t>
      </w:r>
      <w:r w:rsidR="004D1662" w:rsidRPr="00583A81">
        <w:rPr>
          <w:rFonts w:ascii="Arial" w:hAnsi="Arial" w:cs="Arial"/>
          <w:color w:val="010000"/>
          <w:sz w:val="20"/>
        </w:rPr>
        <w:t xml:space="preserve"> </w:t>
      </w:r>
      <w:r w:rsidRPr="00583A81">
        <w:rPr>
          <w:rFonts w:ascii="Arial" w:hAnsi="Arial" w:cs="Arial"/>
          <w:color w:val="010000"/>
          <w:sz w:val="20"/>
        </w:rPr>
        <w:t xml:space="preserve">VND6,200,000,000,000 will be used for </w:t>
      </w:r>
      <w:r w:rsidR="004D1662" w:rsidRPr="00583A81">
        <w:rPr>
          <w:rFonts w:ascii="Arial" w:hAnsi="Arial" w:cs="Arial"/>
          <w:color w:val="010000"/>
          <w:sz w:val="20"/>
        </w:rPr>
        <w:t xml:space="preserve">the </w:t>
      </w:r>
      <w:r w:rsidRPr="00583A81">
        <w:rPr>
          <w:rFonts w:ascii="Arial" w:hAnsi="Arial" w:cs="Arial"/>
          <w:color w:val="010000"/>
          <w:sz w:val="20"/>
        </w:rPr>
        <w:t>plan on using capital in the following priority order of allocation:</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7"/>
        <w:gridCol w:w="5242"/>
        <w:gridCol w:w="1150"/>
        <w:gridCol w:w="1837"/>
      </w:tblGrid>
      <w:tr w:rsidR="009B3EDB" w:rsidRPr="00583A81" w14:paraId="6842CE71" w14:textId="77777777" w:rsidTr="00923FE9">
        <w:tc>
          <w:tcPr>
            <w:tcW w:w="436" w:type="pct"/>
            <w:shd w:val="clear" w:color="auto" w:fill="auto"/>
            <w:tcMar>
              <w:top w:w="0" w:type="dxa"/>
              <w:bottom w:w="0" w:type="dxa"/>
            </w:tcMar>
            <w:vAlign w:val="center"/>
          </w:tcPr>
          <w:p w14:paraId="0A88430C" w14:textId="77777777" w:rsidR="009B3EDB" w:rsidRPr="00583A81" w:rsidRDefault="00FA0E36"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 xml:space="preserve">No. </w:t>
            </w:r>
          </w:p>
        </w:tc>
        <w:tc>
          <w:tcPr>
            <w:tcW w:w="2907" w:type="pct"/>
            <w:shd w:val="clear" w:color="auto" w:fill="auto"/>
            <w:tcMar>
              <w:top w:w="0" w:type="dxa"/>
              <w:bottom w:w="0" w:type="dxa"/>
            </w:tcMar>
            <w:vAlign w:val="center"/>
          </w:tcPr>
          <w:p w14:paraId="2880D124"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Content of capital use</w:t>
            </w:r>
          </w:p>
        </w:tc>
        <w:tc>
          <w:tcPr>
            <w:tcW w:w="638" w:type="pct"/>
            <w:shd w:val="clear" w:color="auto" w:fill="auto"/>
            <w:tcMar>
              <w:top w:w="0" w:type="dxa"/>
              <w:bottom w:w="0" w:type="dxa"/>
            </w:tcMar>
            <w:vAlign w:val="center"/>
          </w:tcPr>
          <w:p w14:paraId="70E42B3D"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Value (billion VND)</w:t>
            </w:r>
          </w:p>
        </w:tc>
        <w:tc>
          <w:tcPr>
            <w:tcW w:w="1019" w:type="pct"/>
            <w:shd w:val="clear" w:color="auto" w:fill="auto"/>
            <w:tcMar>
              <w:top w:w="0" w:type="dxa"/>
              <w:bottom w:w="0" w:type="dxa"/>
            </w:tcMar>
            <w:vAlign w:val="center"/>
          </w:tcPr>
          <w:p w14:paraId="7C5BC934"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Expected time of using capital</w:t>
            </w:r>
          </w:p>
        </w:tc>
      </w:tr>
      <w:tr w:rsidR="009B3EDB" w:rsidRPr="00583A81" w14:paraId="4A2F52A6" w14:textId="77777777" w:rsidTr="00923FE9">
        <w:tc>
          <w:tcPr>
            <w:tcW w:w="436" w:type="pct"/>
            <w:shd w:val="clear" w:color="auto" w:fill="auto"/>
            <w:tcMar>
              <w:top w:w="0" w:type="dxa"/>
              <w:bottom w:w="0" w:type="dxa"/>
            </w:tcMar>
            <w:vAlign w:val="center"/>
          </w:tcPr>
          <w:p w14:paraId="65F6BD4F"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1</w:t>
            </w:r>
          </w:p>
        </w:tc>
        <w:tc>
          <w:tcPr>
            <w:tcW w:w="2907" w:type="pct"/>
            <w:shd w:val="clear" w:color="auto" w:fill="auto"/>
            <w:tcMar>
              <w:top w:w="0" w:type="dxa"/>
              <w:bottom w:w="0" w:type="dxa"/>
            </w:tcMar>
            <w:vAlign w:val="center"/>
          </w:tcPr>
          <w:p w14:paraId="45C96DFE"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Renovate and upgrade facilities</w:t>
            </w:r>
          </w:p>
        </w:tc>
        <w:tc>
          <w:tcPr>
            <w:tcW w:w="638" w:type="pct"/>
            <w:shd w:val="clear" w:color="auto" w:fill="auto"/>
            <w:tcMar>
              <w:top w:w="0" w:type="dxa"/>
              <w:bottom w:w="0" w:type="dxa"/>
            </w:tcMar>
            <w:vAlign w:val="center"/>
          </w:tcPr>
          <w:p w14:paraId="5B8D917F"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200</w:t>
            </w:r>
          </w:p>
        </w:tc>
        <w:tc>
          <w:tcPr>
            <w:tcW w:w="1019" w:type="pct"/>
            <w:vMerge w:val="restart"/>
            <w:shd w:val="clear" w:color="auto" w:fill="auto"/>
            <w:tcMar>
              <w:top w:w="0" w:type="dxa"/>
              <w:bottom w:w="0" w:type="dxa"/>
            </w:tcMar>
            <w:vAlign w:val="center"/>
          </w:tcPr>
          <w:p w14:paraId="6113A860"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In 2024- 2025</w:t>
            </w:r>
          </w:p>
        </w:tc>
      </w:tr>
      <w:tr w:rsidR="009B3EDB" w:rsidRPr="00583A81" w14:paraId="074952C4" w14:textId="77777777" w:rsidTr="00923FE9">
        <w:tc>
          <w:tcPr>
            <w:tcW w:w="436" w:type="pct"/>
            <w:shd w:val="clear" w:color="auto" w:fill="auto"/>
            <w:tcMar>
              <w:top w:w="0" w:type="dxa"/>
              <w:bottom w:w="0" w:type="dxa"/>
            </w:tcMar>
            <w:vAlign w:val="center"/>
          </w:tcPr>
          <w:p w14:paraId="14829A1A"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1.1</w:t>
            </w:r>
          </w:p>
        </w:tc>
        <w:tc>
          <w:tcPr>
            <w:tcW w:w="2907" w:type="pct"/>
            <w:shd w:val="clear" w:color="auto" w:fill="auto"/>
            <w:tcMar>
              <w:top w:w="0" w:type="dxa"/>
              <w:bottom w:w="0" w:type="dxa"/>
            </w:tcMar>
            <w:vAlign w:val="center"/>
          </w:tcPr>
          <w:p w14:paraId="715E8B38"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Renovate transaction points phase 1: renovate/repair branches/transaction offices with degraded facilities</w:t>
            </w:r>
          </w:p>
        </w:tc>
        <w:tc>
          <w:tcPr>
            <w:tcW w:w="638" w:type="pct"/>
            <w:shd w:val="clear" w:color="auto" w:fill="auto"/>
            <w:tcMar>
              <w:top w:w="0" w:type="dxa"/>
              <w:bottom w:w="0" w:type="dxa"/>
            </w:tcMar>
            <w:vAlign w:val="center"/>
          </w:tcPr>
          <w:p w14:paraId="530FD0E3"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25.2</w:t>
            </w:r>
          </w:p>
        </w:tc>
        <w:tc>
          <w:tcPr>
            <w:tcW w:w="1019" w:type="pct"/>
            <w:vMerge/>
            <w:shd w:val="clear" w:color="auto" w:fill="auto"/>
            <w:tcMar>
              <w:top w:w="0" w:type="dxa"/>
              <w:bottom w:w="0" w:type="dxa"/>
            </w:tcMar>
            <w:vAlign w:val="center"/>
          </w:tcPr>
          <w:p w14:paraId="20CD83E3"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37605A59" w14:textId="77777777" w:rsidTr="00923FE9">
        <w:tc>
          <w:tcPr>
            <w:tcW w:w="436" w:type="pct"/>
            <w:shd w:val="clear" w:color="auto" w:fill="auto"/>
            <w:tcMar>
              <w:top w:w="0" w:type="dxa"/>
              <w:bottom w:w="0" w:type="dxa"/>
            </w:tcMar>
            <w:vAlign w:val="center"/>
          </w:tcPr>
          <w:p w14:paraId="22F8DEA1"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1.2</w:t>
            </w:r>
          </w:p>
        </w:tc>
        <w:tc>
          <w:tcPr>
            <w:tcW w:w="2907" w:type="pct"/>
            <w:shd w:val="clear" w:color="auto" w:fill="auto"/>
            <w:tcMar>
              <w:top w:w="0" w:type="dxa"/>
              <w:bottom w:w="0" w:type="dxa"/>
            </w:tcMar>
            <w:vAlign w:val="center"/>
          </w:tcPr>
          <w:p w14:paraId="40818D85"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 xml:space="preserve">Renovate and upgrade facilities phase 2: change the office rental location to central locations with good potential for transactions, repair and embellish the office to ensure a spacious and modern image; procurement of office equipment, </w:t>
            </w:r>
            <w:r w:rsidR="004D1662" w:rsidRPr="00583A81">
              <w:rPr>
                <w:rFonts w:ascii="Arial" w:hAnsi="Arial" w:cs="Arial"/>
                <w:color w:val="010000"/>
                <w:sz w:val="20"/>
              </w:rPr>
              <w:t xml:space="preserve">and </w:t>
            </w:r>
            <w:r w:rsidRPr="00583A81">
              <w:rPr>
                <w:rFonts w:ascii="Arial" w:hAnsi="Arial" w:cs="Arial"/>
                <w:color w:val="010000"/>
                <w:sz w:val="20"/>
              </w:rPr>
              <w:t>machinery to serve business activities</w:t>
            </w:r>
          </w:p>
        </w:tc>
        <w:tc>
          <w:tcPr>
            <w:tcW w:w="638" w:type="pct"/>
            <w:shd w:val="clear" w:color="auto" w:fill="auto"/>
            <w:tcMar>
              <w:top w:w="0" w:type="dxa"/>
              <w:bottom w:w="0" w:type="dxa"/>
            </w:tcMar>
            <w:vAlign w:val="center"/>
          </w:tcPr>
          <w:p w14:paraId="451F08A6"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174.8</w:t>
            </w:r>
          </w:p>
        </w:tc>
        <w:tc>
          <w:tcPr>
            <w:tcW w:w="1019" w:type="pct"/>
            <w:vMerge/>
            <w:shd w:val="clear" w:color="auto" w:fill="auto"/>
            <w:tcMar>
              <w:top w:w="0" w:type="dxa"/>
              <w:bottom w:w="0" w:type="dxa"/>
            </w:tcMar>
            <w:vAlign w:val="center"/>
          </w:tcPr>
          <w:p w14:paraId="529BA045"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64F629FF" w14:textId="77777777" w:rsidTr="00583A81">
        <w:trPr>
          <w:trHeight w:val="218"/>
        </w:trPr>
        <w:tc>
          <w:tcPr>
            <w:tcW w:w="436" w:type="pct"/>
            <w:shd w:val="clear" w:color="auto" w:fill="auto"/>
            <w:tcMar>
              <w:top w:w="0" w:type="dxa"/>
              <w:bottom w:w="0" w:type="dxa"/>
            </w:tcMar>
            <w:vAlign w:val="center"/>
          </w:tcPr>
          <w:p w14:paraId="0676D5A9"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w:t>
            </w:r>
          </w:p>
        </w:tc>
        <w:tc>
          <w:tcPr>
            <w:tcW w:w="2907" w:type="pct"/>
            <w:shd w:val="clear" w:color="auto" w:fill="auto"/>
            <w:tcMar>
              <w:top w:w="0" w:type="dxa"/>
              <w:bottom w:w="0" w:type="dxa"/>
            </w:tcMar>
            <w:vAlign w:val="center"/>
          </w:tcPr>
          <w:p w14:paraId="17EF7942"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Build brand recognition</w:t>
            </w:r>
          </w:p>
        </w:tc>
        <w:tc>
          <w:tcPr>
            <w:tcW w:w="638" w:type="pct"/>
            <w:shd w:val="clear" w:color="auto" w:fill="auto"/>
            <w:tcMar>
              <w:top w:w="0" w:type="dxa"/>
              <w:bottom w:w="0" w:type="dxa"/>
            </w:tcMar>
            <w:vAlign w:val="center"/>
          </w:tcPr>
          <w:p w14:paraId="590B89AE"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200</w:t>
            </w:r>
          </w:p>
        </w:tc>
        <w:tc>
          <w:tcPr>
            <w:tcW w:w="1019" w:type="pct"/>
            <w:vMerge w:val="restart"/>
            <w:shd w:val="clear" w:color="auto" w:fill="auto"/>
            <w:tcMar>
              <w:top w:w="0" w:type="dxa"/>
              <w:bottom w:w="0" w:type="dxa"/>
            </w:tcMar>
            <w:vAlign w:val="center"/>
          </w:tcPr>
          <w:p w14:paraId="2AADB499"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In 2024- 2025</w:t>
            </w:r>
          </w:p>
        </w:tc>
      </w:tr>
      <w:tr w:rsidR="009B3EDB" w:rsidRPr="00583A81" w14:paraId="2CF680C5" w14:textId="77777777" w:rsidTr="00923FE9">
        <w:tc>
          <w:tcPr>
            <w:tcW w:w="436" w:type="pct"/>
            <w:shd w:val="clear" w:color="auto" w:fill="auto"/>
            <w:tcMar>
              <w:top w:w="0" w:type="dxa"/>
              <w:bottom w:w="0" w:type="dxa"/>
            </w:tcMar>
            <w:vAlign w:val="center"/>
          </w:tcPr>
          <w:p w14:paraId="52B6025D"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2.1</w:t>
            </w:r>
          </w:p>
        </w:tc>
        <w:tc>
          <w:tcPr>
            <w:tcW w:w="2907" w:type="pct"/>
            <w:shd w:val="clear" w:color="auto" w:fill="auto"/>
            <w:tcMar>
              <w:top w:w="0" w:type="dxa"/>
              <w:bottom w:w="0" w:type="dxa"/>
            </w:tcMar>
            <w:vAlign w:val="center"/>
          </w:tcPr>
          <w:p w14:paraId="2B8584C0"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Promote brand image on mass media/transaction points</w:t>
            </w:r>
          </w:p>
        </w:tc>
        <w:tc>
          <w:tcPr>
            <w:tcW w:w="638" w:type="pct"/>
            <w:shd w:val="clear" w:color="auto" w:fill="auto"/>
            <w:tcMar>
              <w:top w:w="0" w:type="dxa"/>
              <w:bottom w:w="0" w:type="dxa"/>
            </w:tcMar>
            <w:vAlign w:val="center"/>
          </w:tcPr>
          <w:p w14:paraId="3C4280DC"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80</w:t>
            </w:r>
          </w:p>
        </w:tc>
        <w:tc>
          <w:tcPr>
            <w:tcW w:w="1019" w:type="pct"/>
            <w:vMerge/>
            <w:shd w:val="clear" w:color="auto" w:fill="auto"/>
            <w:tcMar>
              <w:top w:w="0" w:type="dxa"/>
              <w:bottom w:w="0" w:type="dxa"/>
            </w:tcMar>
            <w:vAlign w:val="center"/>
          </w:tcPr>
          <w:p w14:paraId="5E5639DB"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04230318" w14:textId="77777777" w:rsidTr="00923FE9">
        <w:tc>
          <w:tcPr>
            <w:tcW w:w="436" w:type="pct"/>
            <w:shd w:val="clear" w:color="auto" w:fill="auto"/>
            <w:tcMar>
              <w:top w:w="0" w:type="dxa"/>
              <w:bottom w:w="0" w:type="dxa"/>
            </w:tcMar>
            <w:vAlign w:val="center"/>
          </w:tcPr>
          <w:p w14:paraId="07B6C2DD"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2.2</w:t>
            </w:r>
          </w:p>
        </w:tc>
        <w:tc>
          <w:tcPr>
            <w:tcW w:w="2907" w:type="pct"/>
            <w:shd w:val="clear" w:color="auto" w:fill="auto"/>
            <w:tcMar>
              <w:top w:w="0" w:type="dxa"/>
              <w:bottom w:w="0" w:type="dxa"/>
            </w:tcMar>
            <w:vAlign w:val="center"/>
          </w:tcPr>
          <w:p w14:paraId="095E3BBB"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Sponsor television programs, community events, and sports activities</w:t>
            </w:r>
          </w:p>
        </w:tc>
        <w:tc>
          <w:tcPr>
            <w:tcW w:w="638" w:type="pct"/>
            <w:shd w:val="clear" w:color="auto" w:fill="auto"/>
            <w:tcMar>
              <w:top w:w="0" w:type="dxa"/>
              <w:bottom w:w="0" w:type="dxa"/>
            </w:tcMar>
            <w:vAlign w:val="center"/>
          </w:tcPr>
          <w:p w14:paraId="7F26252F"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50</w:t>
            </w:r>
          </w:p>
        </w:tc>
        <w:tc>
          <w:tcPr>
            <w:tcW w:w="1019" w:type="pct"/>
            <w:vMerge/>
            <w:shd w:val="clear" w:color="auto" w:fill="auto"/>
            <w:tcMar>
              <w:top w:w="0" w:type="dxa"/>
              <w:bottom w:w="0" w:type="dxa"/>
            </w:tcMar>
            <w:vAlign w:val="center"/>
          </w:tcPr>
          <w:p w14:paraId="756D7B60"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476EF39A" w14:textId="77777777" w:rsidTr="00923FE9">
        <w:tc>
          <w:tcPr>
            <w:tcW w:w="436" w:type="pct"/>
            <w:shd w:val="clear" w:color="auto" w:fill="auto"/>
            <w:tcMar>
              <w:top w:w="0" w:type="dxa"/>
              <w:bottom w:w="0" w:type="dxa"/>
            </w:tcMar>
            <w:vAlign w:val="center"/>
          </w:tcPr>
          <w:p w14:paraId="4E3A74E1"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2.3</w:t>
            </w:r>
          </w:p>
        </w:tc>
        <w:tc>
          <w:tcPr>
            <w:tcW w:w="2907" w:type="pct"/>
            <w:shd w:val="clear" w:color="auto" w:fill="auto"/>
            <w:tcMar>
              <w:top w:w="0" w:type="dxa"/>
              <w:bottom w:w="0" w:type="dxa"/>
            </w:tcMar>
            <w:vAlign w:val="center"/>
          </w:tcPr>
          <w:p w14:paraId="33A2A851"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Repair and embellish billboards, print publications</w:t>
            </w:r>
          </w:p>
        </w:tc>
        <w:tc>
          <w:tcPr>
            <w:tcW w:w="638" w:type="pct"/>
            <w:shd w:val="clear" w:color="auto" w:fill="auto"/>
            <w:tcMar>
              <w:top w:w="0" w:type="dxa"/>
              <w:bottom w:w="0" w:type="dxa"/>
            </w:tcMar>
            <w:vAlign w:val="center"/>
          </w:tcPr>
          <w:p w14:paraId="021FF755"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50</w:t>
            </w:r>
          </w:p>
        </w:tc>
        <w:tc>
          <w:tcPr>
            <w:tcW w:w="1019" w:type="pct"/>
            <w:vMerge/>
            <w:shd w:val="clear" w:color="auto" w:fill="auto"/>
            <w:tcMar>
              <w:top w:w="0" w:type="dxa"/>
              <w:bottom w:w="0" w:type="dxa"/>
            </w:tcMar>
            <w:vAlign w:val="center"/>
          </w:tcPr>
          <w:p w14:paraId="1F602B6F"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57AF3A91" w14:textId="77777777" w:rsidTr="00923FE9">
        <w:tc>
          <w:tcPr>
            <w:tcW w:w="436" w:type="pct"/>
            <w:shd w:val="clear" w:color="auto" w:fill="auto"/>
            <w:tcMar>
              <w:top w:w="0" w:type="dxa"/>
              <w:bottom w:w="0" w:type="dxa"/>
            </w:tcMar>
            <w:vAlign w:val="center"/>
          </w:tcPr>
          <w:p w14:paraId="06844738"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2.4</w:t>
            </w:r>
          </w:p>
        </w:tc>
        <w:tc>
          <w:tcPr>
            <w:tcW w:w="2907" w:type="pct"/>
            <w:shd w:val="clear" w:color="auto" w:fill="auto"/>
            <w:tcMar>
              <w:top w:w="0" w:type="dxa"/>
              <w:bottom w:w="0" w:type="dxa"/>
            </w:tcMar>
            <w:vAlign w:val="center"/>
          </w:tcPr>
          <w:p w14:paraId="1BACF4E1"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Implement communication campaigns, through traditional channels and on digital platforms</w:t>
            </w:r>
          </w:p>
        </w:tc>
        <w:tc>
          <w:tcPr>
            <w:tcW w:w="638" w:type="pct"/>
            <w:shd w:val="clear" w:color="auto" w:fill="auto"/>
            <w:tcMar>
              <w:top w:w="0" w:type="dxa"/>
              <w:bottom w:w="0" w:type="dxa"/>
            </w:tcMar>
            <w:vAlign w:val="center"/>
          </w:tcPr>
          <w:p w14:paraId="553B24CB"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20</w:t>
            </w:r>
          </w:p>
        </w:tc>
        <w:tc>
          <w:tcPr>
            <w:tcW w:w="1019" w:type="pct"/>
            <w:vMerge/>
            <w:shd w:val="clear" w:color="auto" w:fill="auto"/>
            <w:tcMar>
              <w:top w:w="0" w:type="dxa"/>
              <w:bottom w:w="0" w:type="dxa"/>
            </w:tcMar>
            <w:vAlign w:val="center"/>
          </w:tcPr>
          <w:p w14:paraId="58FF5D68"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5BE359A9" w14:textId="77777777" w:rsidTr="00923FE9">
        <w:tc>
          <w:tcPr>
            <w:tcW w:w="436" w:type="pct"/>
            <w:shd w:val="clear" w:color="auto" w:fill="auto"/>
            <w:tcMar>
              <w:top w:w="0" w:type="dxa"/>
              <w:bottom w:w="0" w:type="dxa"/>
            </w:tcMar>
            <w:vAlign w:val="center"/>
          </w:tcPr>
          <w:p w14:paraId="7866BA11"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3</w:t>
            </w:r>
          </w:p>
        </w:tc>
        <w:tc>
          <w:tcPr>
            <w:tcW w:w="2907" w:type="pct"/>
            <w:shd w:val="clear" w:color="auto" w:fill="auto"/>
            <w:tcMar>
              <w:top w:w="0" w:type="dxa"/>
              <w:bottom w:w="0" w:type="dxa"/>
            </w:tcMar>
            <w:vAlign w:val="center"/>
          </w:tcPr>
          <w:p w14:paraId="17FD25E0"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Invest in technology and digital transformation development</w:t>
            </w:r>
          </w:p>
        </w:tc>
        <w:tc>
          <w:tcPr>
            <w:tcW w:w="638" w:type="pct"/>
            <w:shd w:val="clear" w:color="auto" w:fill="auto"/>
            <w:tcMar>
              <w:top w:w="0" w:type="dxa"/>
              <w:bottom w:w="0" w:type="dxa"/>
            </w:tcMar>
            <w:vAlign w:val="center"/>
          </w:tcPr>
          <w:p w14:paraId="65A2B40D"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500</w:t>
            </w:r>
          </w:p>
        </w:tc>
        <w:tc>
          <w:tcPr>
            <w:tcW w:w="1019" w:type="pct"/>
            <w:vMerge w:val="restart"/>
            <w:shd w:val="clear" w:color="auto" w:fill="auto"/>
            <w:tcMar>
              <w:top w:w="0" w:type="dxa"/>
              <w:bottom w:w="0" w:type="dxa"/>
            </w:tcMar>
            <w:vAlign w:val="center"/>
          </w:tcPr>
          <w:p w14:paraId="2DE240F9"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In 2024- 2025</w:t>
            </w:r>
          </w:p>
        </w:tc>
      </w:tr>
      <w:tr w:rsidR="009B3EDB" w:rsidRPr="00583A81" w14:paraId="33EF2823" w14:textId="77777777" w:rsidTr="00923FE9">
        <w:tc>
          <w:tcPr>
            <w:tcW w:w="436" w:type="pct"/>
            <w:shd w:val="clear" w:color="auto" w:fill="auto"/>
            <w:tcMar>
              <w:top w:w="0" w:type="dxa"/>
              <w:bottom w:w="0" w:type="dxa"/>
            </w:tcMar>
            <w:vAlign w:val="center"/>
          </w:tcPr>
          <w:p w14:paraId="3BF393FE"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lastRenderedPageBreak/>
              <w:t xml:space="preserve">3.1 </w:t>
            </w:r>
          </w:p>
        </w:tc>
        <w:tc>
          <w:tcPr>
            <w:tcW w:w="2907" w:type="pct"/>
            <w:shd w:val="clear" w:color="auto" w:fill="auto"/>
            <w:tcMar>
              <w:top w:w="0" w:type="dxa"/>
              <w:bottom w:w="0" w:type="dxa"/>
            </w:tcMar>
            <w:vAlign w:val="center"/>
          </w:tcPr>
          <w:p w14:paraId="0A814AD2"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Buy software, hire consulting services, deploy compliance reports</w:t>
            </w:r>
          </w:p>
        </w:tc>
        <w:tc>
          <w:tcPr>
            <w:tcW w:w="638" w:type="pct"/>
            <w:shd w:val="clear" w:color="auto" w:fill="auto"/>
            <w:tcMar>
              <w:top w:w="0" w:type="dxa"/>
              <w:bottom w:w="0" w:type="dxa"/>
            </w:tcMar>
            <w:vAlign w:val="center"/>
          </w:tcPr>
          <w:p w14:paraId="1D202213"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4</w:t>
            </w:r>
          </w:p>
        </w:tc>
        <w:tc>
          <w:tcPr>
            <w:tcW w:w="1019" w:type="pct"/>
            <w:vMerge/>
            <w:shd w:val="clear" w:color="auto" w:fill="auto"/>
            <w:tcMar>
              <w:top w:w="0" w:type="dxa"/>
              <w:bottom w:w="0" w:type="dxa"/>
            </w:tcMar>
            <w:vAlign w:val="center"/>
          </w:tcPr>
          <w:p w14:paraId="74C7E6D3"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39F5AC6D" w14:textId="77777777" w:rsidTr="00923FE9">
        <w:tc>
          <w:tcPr>
            <w:tcW w:w="436" w:type="pct"/>
            <w:shd w:val="clear" w:color="auto" w:fill="auto"/>
            <w:tcMar>
              <w:top w:w="0" w:type="dxa"/>
              <w:bottom w:w="0" w:type="dxa"/>
            </w:tcMar>
            <w:vAlign w:val="center"/>
          </w:tcPr>
          <w:p w14:paraId="78E38760"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lastRenderedPageBreak/>
              <w:t>3.2</w:t>
            </w:r>
          </w:p>
        </w:tc>
        <w:tc>
          <w:tcPr>
            <w:tcW w:w="2907" w:type="pct"/>
            <w:shd w:val="clear" w:color="auto" w:fill="auto"/>
            <w:tcMar>
              <w:top w:w="0" w:type="dxa"/>
              <w:bottom w:w="0" w:type="dxa"/>
            </w:tcMar>
            <w:vAlign w:val="center"/>
          </w:tcPr>
          <w:p w14:paraId="4BCD64B6"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Invest in technology infrastructure, equipment</w:t>
            </w:r>
            <w:r w:rsidR="004D1662" w:rsidRPr="00583A81">
              <w:rPr>
                <w:rFonts w:ascii="Arial" w:hAnsi="Arial" w:cs="Arial"/>
                <w:color w:val="010000"/>
                <w:sz w:val="20"/>
              </w:rPr>
              <w:t>,</w:t>
            </w:r>
            <w:r w:rsidRPr="00583A81">
              <w:rPr>
                <w:rFonts w:ascii="Arial" w:hAnsi="Arial" w:cs="Arial"/>
                <w:color w:val="010000"/>
                <w:sz w:val="20"/>
              </w:rPr>
              <w:t xml:space="preserve"> and technology solutions, enhance security, storage</w:t>
            </w:r>
            <w:r w:rsidR="004D1662" w:rsidRPr="00583A81">
              <w:rPr>
                <w:rFonts w:ascii="Arial" w:hAnsi="Arial" w:cs="Arial"/>
                <w:color w:val="010000"/>
                <w:sz w:val="20"/>
              </w:rPr>
              <w:t>,</w:t>
            </w:r>
            <w:r w:rsidRPr="00583A81">
              <w:rPr>
                <w:rFonts w:ascii="Arial" w:hAnsi="Arial" w:cs="Arial"/>
                <w:color w:val="010000"/>
                <w:sz w:val="20"/>
              </w:rPr>
              <w:t xml:space="preserve"> and processing of banking data</w:t>
            </w:r>
          </w:p>
        </w:tc>
        <w:tc>
          <w:tcPr>
            <w:tcW w:w="638" w:type="pct"/>
            <w:shd w:val="clear" w:color="auto" w:fill="auto"/>
            <w:tcMar>
              <w:top w:w="0" w:type="dxa"/>
              <w:bottom w:w="0" w:type="dxa"/>
            </w:tcMar>
            <w:vAlign w:val="center"/>
          </w:tcPr>
          <w:p w14:paraId="219D7741"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296.27</w:t>
            </w:r>
          </w:p>
        </w:tc>
        <w:tc>
          <w:tcPr>
            <w:tcW w:w="1019" w:type="pct"/>
            <w:vMerge/>
            <w:shd w:val="clear" w:color="auto" w:fill="auto"/>
            <w:tcMar>
              <w:top w:w="0" w:type="dxa"/>
              <w:bottom w:w="0" w:type="dxa"/>
            </w:tcMar>
            <w:vAlign w:val="center"/>
          </w:tcPr>
          <w:p w14:paraId="30F4C9FD"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50D5127D" w14:textId="77777777" w:rsidTr="00923FE9">
        <w:tc>
          <w:tcPr>
            <w:tcW w:w="436" w:type="pct"/>
            <w:shd w:val="clear" w:color="auto" w:fill="auto"/>
            <w:tcMar>
              <w:top w:w="0" w:type="dxa"/>
              <w:bottom w:w="0" w:type="dxa"/>
            </w:tcMar>
            <w:vAlign w:val="center"/>
          </w:tcPr>
          <w:p w14:paraId="20E4B04F"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3.3</w:t>
            </w:r>
          </w:p>
        </w:tc>
        <w:tc>
          <w:tcPr>
            <w:tcW w:w="2907" w:type="pct"/>
            <w:shd w:val="clear" w:color="auto" w:fill="auto"/>
            <w:tcMar>
              <w:top w:w="0" w:type="dxa"/>
              <w:bottom w:w="0" w:type="dxa"/>
            </w:tcMar>
            <w:vAlign w:val="center"/>
          </w:tcPr>
          <w:p w14:paraId="004C90F5"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Invest in digital transformation systems</w:t>
            </w:r>
          </w:p>
        </w:tc>
        <w:tc>
          <w:tcPr>
            <w:tcW w:w="638" w:type="pct"/>
            <w:shd w:val="clear" w:color="auto" w:fill="auto"/>
            <w:tcMar>
              <w:top w:w="0" w:type="dxa"/>
              <w:bottom w:w="0" w:type="dxa"/>
            </w:tcMar>
            <w:vAlign w:val="center"/>
          </w:tcPr>
          <w:p w14:paraId="1461BAB5"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169.73</w:t>
            </w:r>
          </w:p>
        </w:tc>
        <w:tc>
          <w:tcPr>
            <w:tcW w:w="1019" w:type="pct"/>
            <w:vMerge/>
            <w:shd w:val="clear" w:color="auto" w:fill="auto"/>
            <w:tcMar>
              <w:top w:w="0" w:type="dxa"/>
              <w:bottom w:w="0" w:type="dxa"/>
            </w:tcMar>
            <w:vAlign w:val="center"/>
          </w:tcPr>
          <w:p w14:paraId="044471F9"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1B9B26A1" w14:textId="77777777" w:rsidTr="00923FE9">
        <w:tc>
          <w:tcPr>
            <w:tcW w:w="436" w:type="pct"/>
            <w:shd w:val="clear" w:color="auto" w:fill="auto"/>
            <w:tcMar>
              <w:top w:w="0" w:type="dxa"/>
              <w:bottom w:w="0" w:type="dxa"/>
            </w:tcMar>
            <w:vAlign w:val="center"/>
          </w:tcPr>
          <w:p w14:paraId="193317D1"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3.4</w:t>
            </w:r>
          </w:p>
        </w:tc>
        <w:tc>
          <w:tcPr>
            <w:tcW w:w="2907" w:type="pct"/>
            <w:shd w:val="clear" w:color="auto" w:fill="auto"/>
            <w:tcMar>
              <w:top w:w="0" w:type="dxa"/>
              <w:bottom w:w="0" w:type="dxa"/>
            </w:tcMar>
            <w:vAlign w:val="center"/>
          </w:tcPr>
          <w:p w14:paraId="582560C6"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Invest in software for capital transactions</w:t>
            </w:r>
          </w:p>
        </w:tc>
        <w:tc>
          <w:tcPr>
            <w:tcW w:w="638" w:type="pct"/>
            <w:shd w:val="clear" w:color="auto" w:fill="auto"/>
            <w:tcMar>
              <w:top w:w="0" w:type="dxa"/>
              <w:bottom w:w="0" w:type="dxa"/>
            </w:tcMar>
            <w:vAlign w:val="center"/>
          </w:tcPr>
          <w:p w14:paraId="2CFE8072"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30</w:t>
            </w:r>
          </w:p>
        </w:tc>
        <w:tc>
          <w:tcPr>
            <w:tcW w:w="1019" w:type="pct"/>
            <w:vMerge/>
            <w:shd w:val="clear" w:color="auto" w:fill="auto"/>
            <w:tcMar>
              <w:top w:w="0" w:type="dxa"/>
              <w:bottom w:w="0" w:type="dxa"/>
            </w:tcMar>
            <w:vAlign w:val="center"/>
          </w:tcPr>
          <w:p w14:paraId="3A925A33"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5D82E131" w14:textId="77777777" w:rsidTr="00923FE9">
        <w:tc>
          <w:tcPr>
            <w:tcW w:w="436" w:type="pct"/>
            <w:shd w:val="clear" w:color="auto" w:fill="auto"/>
            <w:tcMar>
              <w:top w:w="0" w:type="dxa"/>
              <w:bottom w:w="0" w:type="dxa"/>
            </w:tcMar>
            <w:vAlign w:val="center"/>
          </w:tcPr>
          <w:p w14:paraId="2A25A8A2"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4</w:t>
            </w:r>
          </w:p>
        </w:tc>
        <w:tc>
          <w:tcPr>
            <w:tcW w:w="2907" w:type="pct"/>
            <w:shd w:val="clear" w:color="auto" w:fill="auto"/>
            <w:tcMar>
              <w:top w:w="0" w:type="dxa"/>
              <w:bottom w:w="0" w:type="dxa"/>
            </w:tcMar>
            <w:vAlign w:val="center"/>
          </w:tcPr>
          <w:p w14:paraId="01C326E5" w14:textId="4A6928D1" w:rsidR="009B3EDB" w:rsidRPr="00583A81" w:rsidRDefault="00583A81"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eastAsia="Arial" w:hAnsi="Arial" w:cs="Arial"/>
                <w:color w:val="010000"/>
                <w:sz w:val="20"/>
                <w:szCs w:val="20"/>
              </w:rPr>
              <w:t>Supplement capital for business activities</w:t>
            </w:r>
          </w:p>
        </w:tc>
        <w:tc>
          <w:tcPr>
            <w:tcW w:w="638" w:type="pct"/>
            <w:shd w:val="clear" w:color="auto" w:fill="auto"/>
            <w:tcMar>
              <w:top w:w="0" w:type="dxa"/>
              <w:bottom w:w="0" w:type="dxa"/>
            </w:tcMar>
            <w:vAlign w:val="center"/>
          </w:tcPr>
          <w:p w14:paraId="36B7E314"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5,300</w:t>
            </w:r>
          </w:p>
        </w:tc>
        <w:tc>
          <w:tcPr>
            <w:tcW w:w="1019" w:type="pct"/>
            <w:vMerge w:val="restart"/>
            <w:shd w:val="clear" w:color="auto" w:fill="auto"/>
            <w:tcMar>
              <w:top w:w="0" w:type="dxa"/>
              <w:bottom w:w="0" w:type="dxa"/>
            </w:tcMar>
            <w:vAlign w:val="center"/>
          </w:tcPr>
          <w:p w14:paraId="478F3F79"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In 2024- 2025</w:t>
            </w:r>
          </w:p>
        </w:tc>
      </w:tr>
      <w:tr w:rsidR="009B3EDB" w:rsidRPr="00583A81" w14:paraId="544A3115" w14:textId="77777777" w:rsidTr="00923FE9">
        <w:tc>
          <w:tcPr>
            <w:tcW w:w="436" w:type="pct"/>
            <w:shd w:val="clear" w:color="auto" w:fill="auto"/>
            <w:tcMar>
              <w:top w:w="0" w:type="dxa"/>
              <w:bottom w:w="0" w:type="dxa"/>
            </w:tcMar>
            <w:vAlign w:val="center"/>
          </w:tcPr>
          <w:p w14:paraId="010605A6"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4.1</w:t>
            </w:r>
          </w:p>
        </w:tc>
        <w:tc>
          <w:tcPr>
            <w:tcW w:w="2907" w:type="pct"/>
            <w:shd w:val="clear" w:color="auto" w:fill="auto"/>
            <w:tcMar>
              <w:top w:w="0" w:type="dxa"/>
              <w:bottom w:w="0" w:type="dxa"/>
            </w:tcMar>
            <w:vAlign w:val="center"/>
          </w:tcPr>
          <w:p w14:paraId="5F13538C"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 xml:space="preserve">Provide credit to serve production and business life for businesses/residents in </w:t>
            </w:r>
            <w:r w:rsidR="0021493F" w:rsidRPr="00583A81">
              <w:rPr>
                <w:rFonts w:ascii="Arial" w:hAnsi="Arial" w:cs="Arial"/>
                <w:color w:val="010000"/>
                <w:sz w:val="20"/>
              </w:rPr>
              <w:t xml:space="preserve">the </w:t>
            </w:r>
            <w:r w:rsidRPr="00583A81">
              <w:rPr>
                <w:rFonts w:ascii="Arial" w:hAnsi="Arial" w:cs="Arial"/>
                <w:color w:val="010000"/>
                <w:sz w:val="20"/>
              </w:rPr>
              <w:t>main areas of Hanoi, Saigon, Da Nang, Phu Quoc</w:t>
            </w:r>
          </w:p>
        </w:tc>
        <w:tc>
          <w:tcPr>
            <w:tcW w:w="638" w:type="pct"/>
            <w:shd w:val="clear" w:color="auto" w:fill="auto"/>
            <w:tcMar>
              <w:top w:w="0" w:type="dxa"/>
              <w:bottom w:w="0" w:type="dxa"/>
            </w:tcMar>
            <w:vAlign w:val="center"/>
          </w:tcPr>
          <w:p w14:paraId="0378FC14"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4,500</w:t>
            </w:r>
          </w:p>
        </w:tc>
        <w:tc>
          <w:tcPr>
            <w:tcW w:w="1019" w:type="pct"/>
            <w:vMerge/>
            <w:shd w:val="clear" w:color="auto" w:fill="auto"/>
            <w:tcMar>
              <w:top w:w="0" w:type="dxa"/>
              <w:bottom w:w="0" w:type="dxa"/>
            </w:tcMar>
            <w:vAlign w:val="center"/>
          </w:tcPr>
          <w:p w14:paraId="536B3E84"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03BE4857" w14:textId="77777777" w:rsidTr="00923FE9">
        <w:tc>
          <w:tcPr>
            <w:tcW w:w="436" w:type="pct"/>
            <w:shd w:val="clear" w:color="auto" w:fill="auto"/>
            <w:tcMar>
              <w:top w:w="0" w:type="dxa"/>
              <w:bottom w:w="0" w:type="dxa"/>
            </w:tcMar>
            <w:vAlign w:val="center"/>
          </w:tcPr>
          <w:p w14:paraId="3D49D862"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4.2</w:t>
            </w:r>
          </w:p>
        </w:tc>
        <w:tc>
          <w:tcPr>
            <w:tcW w:w="2907" w:type="pct"/>
            <w:shd w:val="clear" w:color="auto" w:fill="auto"/>
            <w:tcMar>
              <w:top w:w="0" w:type="dxa"/>
              <w:bottom w:w="0" w:type="dxa"/>
            </w:tcMar>
            <w:vAlign w:val="center"/>
          </w:tcPr>
          <w:p w14:paraId="54FEF4B4"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Provide credit to serve production and business life for businesses/residents in the northern, central, and southern provinces (except Hanoi, Saigon, Da Nang, Phu Quoc).</w:t>
            </w:r>
          </w:p>
        </w:tc>
        <w:tc>
          <w:tcPr>
            <w:tcW w:w="638" w:type="pct"/>
            <w:shd w:val="clear" w:color="auto" w:fill="auto"/>
            <w:tcMar>
              <w:top w:w="0" w:type="dxa"/>
              <w:bottom w:w="0" w:type="dxa"/>
            </w:tcMar>
            <w:vAlign w:val="center"/>
          </w:tcPr>
          <w:p w14:paraId="53FE73B5"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800</w:t>
            </w:r>
          </w:p>
        </w:tc>
        <w:tc>
          <w:tcPr>
            <w:tcW w:w="1019" w:type="pct"/>
            <w:vMerge/>
            <w:shd w:val="clear" w:color="auto" w:fill="auto"/>
            <w:tcMar>
              <w:top w:w="0" w:type="dxa"/>
              <w:bottom w:w="0" w:type="dxa"/>
            </w:tcMar>
            <w:vAlign w:val="center"/>
          </w:tcPr>
          <w:p w14:paraId="63A9CA2F" w14:textId="77777777" w:rsidR="009B3EDB" w:rsidRPr="00583A81" w:rsidRDefault="009B3EDB" w:rsidP="000C20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B3EDB" w:rsidRPr="00583A81" w14:paraId="0D3A6ADD" w14:textId="77777777" w:rsidTr="00923FE9">
        <w:tc>
          <w:tcPr>
            <w:tcW w:w="436" w:type="pct"/>
            <w:shd w:val="clear" w:color="auto" w:fill="auto"/>
            <w:tcMar>
              <w:top w:w="0" w:type="dxa"/>
              <w:bottom w:w="0" w:type="dxa"/>
            </w:tcMar>
            <w:vAlign w:val="center"/>
          </w:tcPr>
          <w:p w14:paraId="35E9EE39" w14:textId="77777777" w:rsidR="009B3EDB" w:rsidRPr="00583A81" w:rsidRDefault="009B3EDB" w:rsidP="000C20E8">
            <w:pPr>
              <w:tabs>
                <w:tab w:val="left" w:pos="450"/>
              </w:tabs>
              <w:spacing w:after="120" w:line="360" w:lineRule="auto"/>
              <w:jc w:val="both"/>
              <w:rPr>
                <w:rFonts w:ascii="Arial" w:eastAsia="Arial" w:hAnsi="Arial" w:cs="Arial"/>
                <w:color w:val="010000"/>
                <w:sz w:val="20"/>
                <w:szCs w:val="20"/>
              </w:rPr>
            </w:pPr>
          </w:p>
        </w:tc>
        <w:tc>
          <w:tcPr>
            <w:tcW w:w="2907" w:type="pct"/>
            <w:shd w:val="clear" w:color="auto" w:fill="auto"/>
            <w:tcMar>
              <w:top w:w="0" w:type="dxa"/>
              <w:bottom w:w="0" w:type="dxa"/>
            </w:tcMar>
            <w:vAlign w:val="center"/>
          </w:tcPr>
          <w:p w14:paraId="6A64D885"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Total</w:t>
            </w:r>
          </w:p>
        </w:tc>
        <w:tc>
          <w:tcPr>
            <w:tcW w:w="638" w:type="pct"/>
            <w:shd w:val="clear" w:color="auto" w:fill="auto"/>
            <w:tcMar>
              <w:top w:w="0" w:type="dxa"/>
              <w:bottom w:w="0" w:type="dxa"/>
            </w:tcMar>
            <w:vAlign w:val="center"/>
          </w:tcPr>
          <w:p w14:paraId="39D36206"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6,200</w:t>
            </w:r>
          </w:p>
        </w:tc>
        <w:tc>
          <w:tcPr>
            <w:tcW w:w="1019" w:type="pct"/>
            <w:shd w:val="clear" w:color="auto" w:fill="auto"/>
            <w:tcMar>
              <w:top w:w="0" w:type="dxa"/>
              <w:bottom w:w="0" w:type="dxa"/>
            </w:tcMar>
            <w:vAlign w:val="center"/>
          </w:tcPr>
          <w:p w14:paraId="7D6455BF" w14:textId="77777777" w:rsidR="009B3EDB" w:rsidRPr="00583A81" w:rsidRDefault="009B3EDB" w:rsidP="000C20E8">
            <w:pPr>
              <w:tabs>
                <w:tab w:val="left" w:pos="450"/>
              </w:tabs>
              <w:spacing w:after="120" w:line="360" w:lineRule="auto"/>
              <w:jc w:val="both"/>
              <w:rPr>
                <w:rFonts w:ascii="Arial" w:eastAsia="Arial" w:hAnsi="Arial" w:cs="Arial"/>
                <w:color w:val="010000"/>
                <w:sz w:val="20"/>
                <w:szCs w:val="20"/>
              </w:rPr>
            </w:pPr>
          </w:p>
        </w:tc>
      </w:tr>
    </w:tbl>
    <w:p w14:paraId="1522581C"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According to the authorization of the General Meeting of Shareholders and based on the actual situation, in case of necessity, the Board of Directors will adjust the plan on using capital in accordance with the actual capital use needs of National Citizen Commercial Joint Stock Bank, ensuring the effectiveness and benefits of National Citizen Commercial Joint Stock Bank and shareholders and ensuring compliance with legal regulations.</w:t>
      </w:r>
    </w:p>
    <w:p w14:paraId="619AEA02"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Article 2: This Resolution takes effect from the date of signing.</w:t>
      </w:r>
    </w:p>
    <w:p w14:paraId="0F1045A4" w14:textId="77777777" w:rsidR="009B3EDB" w:rsidRPr="00583A81" w:rsidRDefault="00A66A08" w:rsidP="000C20E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83A81">
        <w:rPr>
          <w:rFonts w:ascii="Arial" w:hAnsi="Arial" w:cs="Arial"/>
          <w:color w:val="010000"/>
          <w:sz w:val="20"/>
        </w:rPr>
        <w:t>Article 3: Within the scope of their authority and responsibilities, members of the Board of Directors, the General Manager, relevant individuals</w:t>
      </w:r>
      <w:r w:rsidR="0021493F" w:rsidRPr="00583A81">
        <w:rPr>
          <w:rFonts w:ascii="Arial" w:hAnsi="Arial" w:cs="Arial"/>
          <w:color w:val="010000"/>
          <w:sz w:val="20"/>
        </w:rPr>
        <w:t>,</w:t>
      </w:r>
      <w:r w:rsidRPr="00583A81">
        <w:rPr>
          <w:rFonts w:ascii="Arial" w:hAnsi="Arial" w:cs="Arial"/>
          <w:color w:val="010000"/>
          <w:sz w:val="20"/>
        </w:rPr>
        <w:t xml:space="preserve"> and units are responsible for implementing this Resolution./.</w:t>
      </w:r>
    </w:p>
    <w:sectPr w:rsidR="009B3EDB" w:rsidRPr="00583A81" w:rsidSect="00923FE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2C5"/>
    <w:multiLevelType w:val="multilevel"/>
    <w:tmpl w:val="80DE358A"/>
    <w:lvl w:ilvl="0">
      <w:start w:val="1"/>
      <w:numFmt w:val="decimal"/>
      <w:lvlText w:val="%1"/>
      <w:lvlJc w:val="left"/>
      <w:pPr>
        <w:ind w:left="360" w:hanging="360"/>
      </w:pPr>
      <w:rPr>
        <w:b w:val="0"/>
        <w:i w:val="0"/>
        <w:sz w:val="20"/>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DB"/>
    <w:rsid w:val="000C20E8"/>
    <w:rsid w:val="000D7950"/>
    <w:rsid w:val="0021493F"/>
    <w:rsid w:val="004D1662"/>
    <w:rsid w:val="00583A81"/>
    <w:rsid w:val="00923FE9"/>
    <w:rsid w:val="009B3EDB"/>
    <w:rsid w:val="00A66A08"/>
    <w:rsid w:val="00CC491F"/>
    <w:rsid w:val="00FA0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EF14C"/>
  <w15:docId w15:val="{0F4FA2B3-85A5-4044-B2E9-2CD396A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Bodytext3">
    <w:name w:val="Body text (3)_"/>
    <w:basedOn w:val="DefaultParagraphFont"/>
    <w:link w:val="Bodytext30"/>
    <w:rPr>
      <w:rFonts w:ascii="MS Reference Sans Serif" w:eastAsia="MS Reference Sans Serif" w:hAnsi="MS Reference Sans Serif" w:cs="MS Reference Sans Serif"/>
      <w:b/>
      <w:bCs/>
      <w:i w:val="0"/>
      <w:iCs w:val="0"/>
      <w:smallCaps w:val="0"/>
      <w:strike w:val="0"/>
      <w:color w:val="E3394D"/>
      <w:w w:val="7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E3394D"/>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E3394D"/>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strike w:val="0"/>
      <w:color w:val="E3394D"/>
      <w:sz w:val="28"/>
      <w:szCs w:val="28"/>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i/>
      <w:iCs/>
      <w:sz w:val="22"/>
      <w:szCs w:val="22"/>
    </w:rPr>
  </w:style>
  <w:style w:type="paragraph" w:customStyle="1" w:styleId="Heading31">
    <w:name w:val="Heading #3"/>
    <w:basedOn w:val="Normal"/>
    <w:link w:val="Heading30"/>
    <w:pPr>
      <w:spacing w:line="283" w:lineRule="auto"/>
      <w:jc w:val="center"/>
      <w:outlineLvl w:val="2"/>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295"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83" w:lineRule="auto"/>
    </w:pPr>
    <w:rPr>
      <w:rFonts w:ascii="Times New Roman" w:eastAsia="Times New Roman" w:hAnsi="Times New Roman" w:cs="Times New Roman"/>
      <w:i/>
      <w:iCs/>
      <w:sz w:val="22"/>
      <w:szCs w:val="22"/>
    </w:rPr>
  </w:style>
  <w:style w:type="paragraph" w:customStyle="1" w:styleId="Bodytext20">
    <w:name w:val="Body text (2)"/>
    <w:basedOn w:val="Normal"/>
    <w:link w:val="Bodytext2"/>
    <w:rPr>
      <w:rFonts w:ascii="Times New Roman" w:eastAsia="Times New Roman" w:hAnsi="Times New Roman" w:cs="Times New Roman"/>
      <w:i/>
      <w:iCs/>
      <w:sz w:val="17"/>
      <w:szCs w:val="17"/>
    </w:rPr>
  </w:style>
  <w:style w:type="paragraph" w:customStyle="1" w:styleId="Bodytext30">
    <w:name w:val="Body text (3)"/>
    <w:basedOn w:val="Normal"/>
    <w:link w:val="Bodytext3"/>
    <w:pPr>
      <w:jc w:val="center"/>
    </w:pPr>
    <w:rPr>
      <w:rFonts w:ascii="MS Reference Sans Serif" w:eastAsia="MS Reference Sans Serif" w:hAnsi="MS Reference Sans Serif" w:cs="MS Reference Sans Serif"/>
      <w:b/>
      <w:bCs/>
      <w:color w:val="E3394D"/>
      <w:w w:val="70"/>
      <w:sz w:val="22"/>
      <w:szCs w:val="22"/>
    </w:rPr>
  </w:style>
  <w:style w:type="paragraph" w:customStyle="1" w:styleId="Heading21">
    <w:name w:val="Heading #2"/>
    <w:basedOn w:val="Normal"/>
    <w:link w:val="Heading20"/>
    <w:pPr>
      <w:spacing w:line="319" w:lineRule="auto"/>
      <w:jc w:val="center"/>
      <w:outlineLvl w:val="1"/>
    </w:pPr>
    <w:rPr>
      <w:rFonts w:ascii="Arial" w:eastAsia="Arial" w:hAnsi="Arial" w:cs="Arial"/>
      <w:color w:val="E3394D"/>
      <w:sz w:val="22"/>
      <w:szCs w:val="22"/>
    </w:rPr>
  </w:style>
  <w:style w:type="paragraph" w:customStyle="1" w:styleId="Bodytext40">
    <w:name w:val="Body text (4)"/>
    <w:basedOn w:val="Normal"/>
    <w:link w:val="Bodytext4"/>
    <w:pPr>
      <w:jc w:val="right"/>
    </w:pPr>
    <w:rPr>
      <w:rFonts w:ascii="Times New Roman" w:eastAsia="Times New Roman" w:hAnsi="Times New Roman" w:cs="Times New Roman"/>
      <w:color w:val="E3394D"/>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i/>
      <w:iCs/>
      <w:smallCaps/>
      <w:color w:val="E3394D"/>
      <w:sz w:val="28"/>
      <w:szCs w:val="28"/>
    </w:rPr>
  </w:style>
  <w:style w:type="paragraph" w:styleId="NormalWeb">
    <w:name w:val="Normal (Web)"/>
    <w:basedOn w:val="Normal"/>
    <w:uiPriority w:val="99"/>
    <w:unhideWhenUsed/>
    <w:rsid w:val="00B83687"/>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UG9mKO/NVk8tInZUfEQUuma00A==">CgMxLjA4AHIhMUxfTndCLTQzX21IUEN1ZEUyVm1jUEVfb19iTi1JOGY0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2024-06-27T04:08:00Z</dcterms:created>
  <dcterms:modified xsi:type="dcterms:W3CDTF">2024-06-28T03:48:00Z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d59820234b60ca95802c7f7ea8b37a51815a12c8bd5b76815a92956cda435670</vt:lpwstr>
  </property>
</Properties>
</file>