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52A7B" w:rsidRPr="00E61E2B" w:rsidRDefault="004F72AC" w:rsidP="000611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61E2B">
        <w:rPr>
          <w:rFonts w:ascii="Arial" w:hAnsi="Arial" w:cs="Arial"/>
          <w:b/>
          <w:color w:val="010000"/>
          <w:sz w:val="20"/>
        </w:rPr>
        <w:t>PDV: Board Resolution</w:t>
      </w:r>
    </w:p>
    <w:p w14:paraId="00000002" w14:textId="0992213F" w:rsidR="00552A7B" w:rsidRPr="00E61E2B" w:rsidRDefault="004F72AC" w:rsidP="000611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61E2B">
        <w:rPr>
          <w:rFonts w:ascii="Arial" w:hAnsi="Arial" w:cs="Arial"/>
          <w:color w:val="010000"/>
          <w:sz w:val="20"/>
        </w:rPr>
        <w:t xml:space="preserve">On June 24, 2024, Phuong Dong Viet Shipping and Logistics Corporation announced Resolution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26/NQ-HDQT on approving the registration dossier on the public offering of additional shares as follows:</w:t>
      </w:r>
    </w:p>
    <w:p w14:paraId="00000003" w14:textId="77777777" w:rsidR="00552A7B" w:rsidRPr="00E61E2B" w:rsidRDefault="004F72AC" w:rsidP="000611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>‎‎Article 1. Approve the registration dossier on the public offering of additional shares of Phuong Dong Viet Shipping and Logistics Corporation.</w:t>
      </w:r>
    </w:p>
    <w:p w14:paraId="00000004" w14:textId="77777777" w:rsidR="00552A7B" w:rsidRPr="00E61E2B" w:rsidRDefault="004F72AC" w:rsidP="000611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>The registration dossier on the public offering of additional shares of Phuong Dong Viet Shipping and Logistics Corporation included:</w:t>
      </w:r>
    </w:p>
    <w:p w14:paraId="00000005" w14:textId="411AF882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Registration certificate for additional public offering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171/PDV-TCKT dated June 24, 2024;</w:t>
      </w:r>
    </w:p>
    <w:p w14:paraId="00000006" w14:textId="51F5F3BE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Business Registration Certificate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0304934883, issued by the Department of Planning and Investment of Ho Chi Minh City for the first time on April 20, 2007, issued with the 18th change on November 27, 2023;</w:t>
      </w:r>
    </w:p>
    <w:p w14:paraId="00000007" w14:textId="2870DBC9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Decision of the General Meeting of Shareholders </w:t>
      </w:r>
      <w:r w:rsidR="005431B9" w:rsidRPr="00E61E2B">
        <w:rPr>
          <w:rFonts w:ascii="Arial" w:hAnsi="Arial" w:cs="Arial"/>
          <w:color w:val="010000"/>
          <w:sz w:val="20"/>
        </w:rPr>
        <w:t xml:space="preserve">on </w:t>
      </w:r>
      <w:r w:rsidRPr="00E61E2B">
        <w:rPr>
          <w:rFonts w:ascii="Arial" w:hAnsi="Arial" w:cs="Arial"/>
          <w:color w:val="010000"/>
          <w:sz w:val="20"/>
        </w:rPr>
        <w:t>approving the issuance plan and plan on using capital:</w:t>
      </w:r>
    </w:p>
    <w:p w14:paraId="00000008" w14:textId="1A7CDB1F" w:rsidR="00552A7B" w:rsidRPr="00E61E2B" w:rsidRDefault="004F72AC" w:rsidP="000611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Annual General Mandate 2024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01/NQ-PDV-DHDCD dated April 24, 2024 and</w:t>
      </w:r>
      <w:r w:rsidR="005431B9" w:rsidRPr="00E61E2B">
        <w:rPr>
          <w:rFonts w:ascii="Arial" w:hAnsi="Arial" w:cs="Arial"/>
          <w:color w:val="010000"/>
          <w:sz w:val="20"/>
        </w:rPr>
        <w:t xml:space="preserve"> the</w:t>
      </w:r>
      <w:r w:rsidRPr="00E61E2B">
        <w:rPr>
          <w:rFonts w:ascii="Arial" w:hAnsi="Arial" w:cs="Arial"/>
          <w:color w:val="010000"/>
          <w:sz w:val="20"/>
        </w:rPr>
        <w:t xml:space="preserve"> Meeting Minutes of the Annual General Meeting of Shareholders 2024 dated April 24, 2024 of Phuong Dong Viet Shipping and Logistics Corporation;</w:t>
      </w:r>
    </w:p>
    <w:p w14:paraId="00000009" w14:textId="42EEECAF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The prospectus for </w:t>
      </w:r>
      <w:r w:rsidR="005431B9" w:rsidRPr="00E61E2B">
        <w:rPr>
          <w:rFonts w:ascii="Arial" w:hAnsi="Arial" w:cs="Arial"/>
          <w:color w:val="010000"/>
          <w:sz w:val="20"/>
        </w:rPr>
        <w:t xml:space="preserve">the </w:t>
      </w:r>
      <w:r w:rsidRPr="00E61E2B">
        <w:rPr>
          <w:rFonts w:ascii="Arial" w:hAnsi="Arial" w:cs="Arial"/>
          <w:color w:val="010000"/>
          <w:sz w:val="20"/>
        </w:rPr>
        <w:t>public offering of additional shares of Phuong Dong Viet Shipping and Logistics Corporation signed on June 24, 2024;</w:t>
      </w:r>
    </w:p>
    <w:p w14:paraId="0000000A" w14:textId="77777777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>Charter on organization and operation of Phuong Dong Viet Shipping and Logistics Corporation signed on November 8, 2023;</w:t>
      </w:r>
    </w:p>
    <w:p w14:paraId="0000000B" w14:textId="77777777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>The Audited Financial Statements 2022, 2023 and Financial Statements Q1/2024 of Phuong Dong Viet Shipping and Logistics Corporation;</w:t>
      </w:r>
    </w:p>
    <w:p w14:paraId="0000000C" w14:textId="0A4C83D3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Consulting contract to offer shares to the public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04/2023/VCBS-TVTCDN signed between Phuong Dong Viet Shipping and Logistics Corporation and Vietcombank Sec</w:t>
      </w:r>
      <w:r w:rsidR="005431B9" w:rsidRPr="00E61E2B">
        <w:rPr>
          <w:rFonts w:ascii="Arial" w:hAnsi="Arial" w:cs="Arial"/>
          <w:color w:val="010000"/>
          <w:sz w:val="20"/>
        </w:rPr>
        <w:t xml:space="preserve">urities Company, Ltd. - Ho Chi </w:t>
      </w:r>
      <w:r w:rsidRPr="00E61E2B">
        <w:rPr>
          <w:rFonts w:ascii="Arial" w:hAnsi="Arial" w:cs="Arial"/>
          <w:color w:val="010000"/>
          <w:sz w:val="20"/>
        </w:rPr>
        <w:t xml:space="preserve">Minh Branch on December 20, 2023 and Appendix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01, dated June 24, 2024;</w:t>
      </w:r>
    </w:p>
    <w:p w14:paraId="0000000D" w14:textId="60FB87CF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Document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21/TSG.PKH dated May 3, 2024 of Joint Stock Commercial Bank for Foreign Trade of Vietnam</w:t>
      </w:r>
      <w:r w:rsidR="005431B9" w:rsidRPr="00E61E2B">
        <w:rPr>
          <w:rFonts w:ascii="Arial" w:hAnsi="Arial" w:cs="Arial"/>
          <w:color w:val="010000"/>
          <w:sz w:val="20"/>
        </w:rPr>
        <w:t xml:space="preserve"> </w:t>
      </w:r>
      <w:r w:rsidRPr="00E61E2B">
        <w:rPr>
          <w:rFonts w:ascii="Arial" w:hAnsi="Arial" w:cs="Arial"/>
          <w:color w:val="010000"/>
          <w:sz w:val="20"/>
        </w:rPr>
        <w:t xml:space="preserve">- Tay Sai Gon Branch on confirmation of blocking the account receiving money for </w:t>
      </w:r>
      <w:r w:rsidR="005431B9" w:rsidRPr="00E61E2B">
        <w:rPr>
          <w:rFonts w:ascii="Arial" w:hAnsi="Arial" w:cs="Arial"/>
          <w:color w:val="010000"/>
          <w:sz w:val="20"/>
        </w:rPr>
        <w:t xml:space="preserve">the </w:t>
      </w:r>
      <w:r w:rsidRPr="00E61E2B">
        <w:rPr>
          <w:rFonts w:ascii="Arial" w:hAnsi="Arial" w:cs="Arial"/>
          <w:color w:val="010000"/>
          <w:sz w:val="20"/>
        </w:rPr>
        <w:t>public offering of shares;</w:t>
      </w:r>
    </w:p>
    <w:p w14:paraId="0000000E" w14:textId="558166CA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Document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 xml:space="preserve">172/PDV-TCKT dated June 24, 2024 on </w:t>
      </w:r>
      <w:r w:rsidR="005431B9" w:rsidRPr="00E61E2B">
        <w:rPr>
          <w:rFonts w:ascii="Arial" w:hAnsi="Arial" w:cs="Arial"/>
          <w:color w:val="010000"/>
          <w:sz w:val="20"/>
        </w:rPr>
        <w:t xml:space="preserve">the </w:t>
      </w:r>
      <w:r w:rsidRPr="00E61E2B">
        <w:rPr>
          <w:rFonts w:ascii="Arial" w:hAnsi="Arial" w:cs="Arial"/>
          <w:color w:val="010000"/>
          <w:sz w:val="20"/>
        </w:rPr>
        <w:t>commitment to meeting the conditions for the public offering of additional shares and transaction registration for shares of Phuong Dong Viet Shipping and Logistics Corporation;</w:t>
      </w:r>
    </w:p>
    <w:p w14:paraId="0000000F" w14:textId="3D4682F7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Resolution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 xml:space="preserve">25/NQ-HDQT, dated June 24, 2024 on the implementation of the plan on </w:t>
      </w:r>
      <w:r w:rsidR="005431B9" w:rsidRPr="00E61E2B">
        <w:rPr>
          <w:rFonts w:ascii="Arial" w:hAnsi="Arial" w:cs="Arial"/>
          <w:color w:val="010000"/>
          <w:sz w:val="20"/>
        </w:rPr>
        <w:t xml:space="preserve">the </w:t>
      </w:r>
      <w:r w:rsidRPr="00E61E2B">
        <w:rPr>
          <w:rFonts w:ascii="Arial" w:hAnsi="Arial" w:cs="Arial"/>
          <w:color w:val="010000"/>
          <w:sz w:val="20"/>
        </w:rPr>
        <w:t>public offering of additional shares; The Company's commitments; Plan on using capital expected to be obtained from the offering;</w:t>
      </w:r>
    </w:p>
    <w:p w14:paraId="00000010" w14:textId="77777777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lastRenderedPageBreak/>
        <w:t>Report on using of capital obtained from the public offering of additional shares to increase charter capital audited on June 24, 2024;</w:t>
      </w:r>
    </w:p>
    <w:p w14:paraId="00000011" w14:textId="77777777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>Decision of the competent authority approving the project:</w:t>
      </w:r>
    </w:p>
    <w:p w14:paraId="00000012" w14:textId="4D9D464A" w:rsidR="00552A7B" w:rsidRPr="00E61E2B" w:rsidRDefault="004F72AC" w:rsidP="0006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General Mandate 2024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 xml:space="preserve">01/NQ-PDV-DHDCD, dated April 24, 2024 and </w:t>
      </w:r>
      <w:r w:rsidR="005431B9" w:rsidRPr="00E61E2B">
        <w:rPr>
          <w:rFonts w:ascii="Arial" w:hAnsi="Arial" w:cs="Arial"/>
          <w:color w:val="010000"/>
          <w:sz w:val="20"/>
        </w:rPr>
        <w:t xml:space="preserve">the </w:t>
      </w:r>
      <w:r w:rsidRPr="00E61E2B">
        <w:rPr>
          <w:rFonts w:ascii="Arial" w:hAnsi="Arial" w:cs="Arial"/>
          <w:color w:val="010000"/>
          <w:sz w:val="20"/>
        </w:rPr>
        <w:t xml:space="preserve">Minutes of the Annual General Meeting of Shareholders 2024 dated April 24, 2024 of Phuong Dong Viet Shipping and Logistics Corporation on approving the Project on purchasing oil/chemical tanker with </w:t>
      </w:r>
      <w:r w:rsidR="005431B9" w:rsidRPr="00E61E2B">
        <w:rPr>
          <w:rFonts w:ascii="Arial" w:hAnsi="Arial" w:cs="Arial"/>
          <w:color w:val="010000"/>
          <w:sz w:val="20"/>
        </w:rPr>
        <w:t xml:space="preserve">the </w:t>
      </w:r>
      <w:r w:rsidRPr="00E61E2B">
        <w:rPr>
          <w:rFonts w:ascii="Arial" w:hAnsi="Arial" w:cs="Arial"/>
          <w:color w:val="010000"/>
          <w:sz w:val="20"/>
        </w:rPr>
        <w:t>tonnage of about 19,000-25,000 DWT (Project code: PDV-HC-04/24</w:t>
      </w:r>
      <w:r w:rsidR="00854D05" w:rsidRPr="00E61E2B">
        <w:rPr>
          <w:rFonts w:ascii="Arial" w:hAnsi="Arial" w:cs="Arial"/>
          <w:color w:val="010000"/>
          <w:sz w:val="20"/>
        </w:rPr>
        <w:t xml:space="preserve">) or bulk carrier with the tonnage of </w:t>
      </w:r>
      <w:r w:rsidRPr="00E61E2B">
        <w:rPr>
          <w:rFonts w:ascii="Arial" w:hAnsi="Arial" w:cs="Arial"/>
          <w:color w:val="010000"/>
          <w:sz w:val="20"/>
        </w:rPr>
        <w:t xml:space="preserve">25,000-75,000 DWT (Project code: PDV- HR-04/24) attached </w:t>
      </w:r>
      <w:r w:rsidR="00854D05" w:rsidRPr="00E61E2B">
        <w:rPr>
          <w:rFonts w:ascii="Arial" w:hAnsi="Arial" w:cs="Arial"/>
          <w:color w:val="010000"/>
          <w:sz w:val="20"/>
        </w:rPr>
        <w:t>to the Feasibility Study Report</w:t>
      </w:r>
      <w:r w:rsidRPr="00E61E2B">
        <w:rPr>
          <w:rFonts w:ascii="Arial" w:hAnsi="Arial" w:cs="Arial"/>
          <w:color w:val="010000"/>
          <w:sz w:val="20"/>
        </w:rPr>
        <w:t>;</w:t>
      </w:r>
      <w:r w:rsidR="0087188F" w:rsidRPr="00E61E2B">
        <w:rPr>
          <w:rFonts w:ascii="Arial" w:hAnsi="Arial" w:cs="Arial"/>
          <w:color w:val="010000"/>
          <w:sz w:val="20"/>
        </w:rPr>
        <w:t xml:space="preserve"> </w:t>
      </w:r>
    </w:p>
    <w:p w14:paraId="00000013" w14:textId="45F58447" w:rsidR="00552A7B" w:rsidRPr="00E61E2B" w:rsidRDefault="004F72AC" w:rsidP="00E61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Resolution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 xml:space="preserve">11/NQ-HDQT, dated April 23, 2024 of the Board of Directors on approving the Feasibility Study Report of the Investment Project to purchase Handysize bulk </w:t>
      </w:r>
      <w:r w:rsidR="000C0AD0" w:rsidRPr="00E61E2B">
        <w:rPr>
          <w:rFonts w:ascii="Arial" w:hAnsi="Arial" w:cs="Arial"/>
          <w:color w:val="010000"/>
          <w:sz w:val="20"/>
        </w:rPr>
        <w:t xml:space="preserve">carrier </w:t>
      </w:r>
      <w:r w:rsidR="00854D05" w:rsidRPr="00E61E2B">
        <w:rPr>
          <w:rFonts w:ascii="Arial" w:hAnsi="Arial" w:cs="Arial"/>
          <w:color w:val="010000"/>
          <w:sz w:val="20"/>
        </w:rPr>
        <w:t xml:space="preserve">with </w:t>
      </w:r>
      <w:r w:rsidR="00E61E2B" w:rsidRPr="00E61E2B">
        <w:rPr>
          <w:rFonts w:ascii="Arial" w:hAnsi="Arial" w:cs="Arial"/>
          <w:color w:val="010000"/>
          <w:sz w:val="20"/>
        </w:rPr>
        <w:t>a</w:t>
      </w:r>
      <w:r w:rsidR="00854D05" w:rsidRPr="00E61E2B">
        <w:rPr>
          <w:rFonts w:ascii="Arial" w:hAnsi="Arial" w:cs="Arial"/>
          <w:color w:val="010000"/>
          <w:sz w:val="20"/>
        </w:rPr>
        <w:t xml:space="preserve"> tonnage </w:t>
      </w:r>
      <w:r w:rsidRPr="00E61E2B">
        <w:rPr>
          <w:rFonts w:ascii="Arial" w:hAnsi="Arial" w:cs="Arial"/>
          <w:color w:val="010000"/>
          <w:sz w:val="20"/>
        </w:rPr>
        <w:t xml:space="preserve">of about 25,000-35,000 DWT (Project code: PDV-HR-02/22) of Phuong Dong Viet Shipping and Logistics Corporation; </w:t>
      </w:r>
    </w:p>
    <w:p w14:paraId="00000014" w14:textId="77777777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>Authorized documents:</w:t>
      </w:r>
    </w:p>
    <w:p w14:paraId="00000015" w14:textId="429BDD11" w:rsidR="00552A7B" w:rsidRPr="00E61E2B" w:rsidRDefault="004F72AC" w:rsidP="000611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Power of Attorney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15/2024/UQ-VCBS-KSNB, dated February 23, 2024 of Vietcombank Securities Company, Ltd. on authorizing the Manager of Ho Chi Minh City Branch to sign agreements/contracts and other related dossiers/documents arising at Vietcombank Securities Company, Ltd.- Ho Chi Minh Branch in the business financial consulting profession;</w:t>
      </w:r>
    </w:p>
    <w:p w14:paraId="00000016" w14:textId="7C8C2484" w:rsidR="00552A7B" w:rsidRPr="00E61E2B" w:rsidRDefault="004F72AC" w:rsidP="0006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Power of Attorney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14/UQ-PDV, dated December 1, 2023 of Phuong Dong Viet Shipping and Logistics Corporation on authorizing the Deputy Manager of the Company to sign agreements/contracts and copy documents;</w:t>
      </w:r>
    </w:p>
    <w:p w14:paraId="763CA6FC" w14:textId="77777777" w:rsidR="00854D05" w:rsidRPr="00E61E2B" w:rsidRDefault="004F72AC" w:rsidP="0006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Power of Attorney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062/VN1A-HN-UQ, dated June 30, 2022 of Deloitte Vietnam Company Limited;</w:t>
      </w:r>
    </w:p>
    <w:p w14:paraId="1CF10704" w14:textId="77777777" w:rsidR="00854D05" w:rsidRPr="00E61E2B" w:rsidRDefault="004F72AC" w:rsidP="0006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Power of Attorney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015/VN1A-HN-UQ, dated June 01, 2023 of Deloitte Vietnam Company Limited;</w:t>
      </w:r>
    </w:p>
    <w:p w14:paraId="0000001A" w14:textId="06BD0838" w:rsidR="00552A7B" w:rsidRPr="00E61E2B" w:rsidRDefault="004F72AC" w:rsidP="0006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 xml:space="preserve">Power of Attorney </w:t>
      </w:r>
      <w:r w:rsidR="0087188F" w:rsidRPr="00E61E2B">
        <w:rPr>
          <w:rFonts w:ascii="Arial" w:hAnsi="Arial" w:cs="Arial"/>
          <w:color w:val="010000"/>
          <w:sz w:val="20"/>
        </w:rPr>
        <w:t xml:space="preserve">No. </w:t>
      </w:r>
      <w:r w:rsidRPr="00E61E2B">
        <w:rPr>
          <w:rFonts w:ascii="Arial" w:hAnsi="Arial" w:cs="Arial"/>
          <w:color w:val="010000"/>
          <w:sz w:val="20"/>
        </w:rPr>
        <w:t>064/VN1A-HN-UQ, dated September 08, 2023 of Deloitte Vietnam Company Limited;</w:t>
      </w:r>
    </w:p>
    <w:p w14:paraId="0000001B" w14:textId="77777777" w:rsidR="00552A7B" w:rsidRPr="00E61E2B" w:rsidRDefault="004F72AC" w:rsidP="00061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>Other related documents (if any).</w:t>
      </w:r>
    </w:p>
    <w:p w14:paraId="0000001C" w14:textId="6FF9926E" w:rsidR="00552A7B" w:rsidRPr="00E61E2B" w:rsidRDefault="004F72AC" w:rsidP="000611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1E2B">
        <w:rPr>
          <w:rFonts w:ascii="Arial" w:hAnsi="Arial" w:cs="Arial"/>
          <w:color w:val="010000"/>
          <w:sz w:val="20"/>
        </w:rPr>
        <w:t>‎‎Article 2. Members of the Board of Directors, the Supervisory Board, the Board of Managers and relevant functional departments of the Company are responsible for the implementation of this</w:t>
      </w:r>
      <w:r w:rsidR="0087188F" w:rsidRPr="00E61E2B">
        <w:rPr>
          <w:rFonts w:ascii="Arial" w:hAnsi="Arial" w:cs="Arial"/>
          <w:color w:val="010000"/>
          <w:sz w:val="20"/>
        </w:rPr>
        <w:t xml:space="preserve"> </w:t>
      </w:r>
      <w:r w:rsidRPr="00E61E2B">
        <w:rPr>
          <w:rFonts w:ascii="Arial" w:hAnsi="Arial" w:cs="Arial"/>
          <w:color w:val="010000"/>
          <w:sz w:val="20"/>
        </w:rPr>
        <w:t>Resolution.</w:t>
      </w:r>
    </w:p>
    <w:sectPr w:rsidR="00552A7B" w:rsidRPr="00E61E2B" w:rsidSect="0006116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1082"/>
    <w:multiLevelType w:val="multilevel"/>
    <w:tmpl w:val="DE7E28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3208C2"/>
    <w:multiLevelType w:val="multilevel"/>
    <w:tmpl w:val="5E74DB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B"/>
    <w:rsid w:val="00061165"/>
    <w:rsid w:val="000C0AD0"/>
    <w:rsid w:val="00106F83"/>
    <w:rsid w:val="004F72AC"/>
    <w:rsid w:val="005431B9"/>
    <w:rsid w:val="00552A7B"/>
    <w:rsid w:val="00854D05"/>
    <w:rsid w:val="0087188F"/>
    <w:rsid w:val="00CC2466"/>
    <w:rsid w:val="00E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6FDE5"/>
  <w15:docId w15:val="{C4F7DA7D-5C8E-42EC-AD36-7AAA562D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HB6zOMhFecGoDX7Dw7uaIUguGA==">CgMxLjAyCGguZ2pkZ3hzOAByITFVVWZkMkNiRXpPN193eTJyaUFTMTk3MHg2dnRZeVY2Tg==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Thu Giang</dc:creator>
  <cp:lastModifiedBy>Nguyen Thi Thu Giang</cp:lastModifiedBy>
  <cp:revision>2</cp:revision>
  <dcterms:created xsi:type="dcterms:W3CDTF">2024-06-28T03:09:00Z</dcterms:created>
  <dcterms:modified xsi:type="dcterms:W3CDTF">2024-06-28T03:09:00Z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63ff04888f96fa34e83fc3d867a2211a92c06a1edbc1c41d29be5e077a379e3a</vt:lpwstr>
  </property>
</Properties>
</file>