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B564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2D560F">
        <w:rPr>
          <w:rFonts w:ascii="Arial" w:hAnsi="Arial" w:cs="Arial"/>
          <w:b/>
          <w:color w:val="010000"/>
          <w:sz w:val="20"/>
        </w:rPr>
        <w:t>QBS: Annual General Mandate 2024</w:t>
      </w:r>
    </w:p>
    <w:p w14:paraId="5738B058" w14:textId="076756AC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On June 24, 2024, Quang Binh Import and Export Joint Stock Company announced General Mandate </w:t>
      </w:r>
      <w:r w:rsidR="001545EB" w:rsidRPr="002D560F">
        <w:rPr>
          <w:rFonts w:ascii="Arial" w:hAnsi="Arial" w:cs="Arial"/>
          <w:color w:val="010000"/>
          <w:sz w:val="20"/>
        </w:rPr>
        <w:t xml:space="preserve">No. </w:t>
      </w:r>
      <w:r w:rsidRPr="002D560F">
        <w:rPr>
          <w:rFonts w:ascii="Arial" w:hAnsi="Arial" w:cs="Arial"/>
          <w:color w:val="010000"/>
          <w:sz w:val="20"/>
        </w:rPr>
        <w:t xml:space="preserve">24-06/2024/NQ-DHDCD as follows: </w:t>
      </w:r>
    </w:p>
    <w:p w14:paraId="34D1F2EA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‎‎Article 1. The Annual General Meeting of Shareholders approved the following contents:</w:t>
      </w:r>
    </w:p>
    <w:p w14:paraId="7560D7C4" w14:textId="3EA41CC3" w:rsidR="00A125B9" w:rsidRPr="002D560F" w:rsidRDefault="0005080F" w:rsidP="001D6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Approve the Report on business activities results in 2023 and</w:t>
      </w:r>
      <w:r w:rsidR="00A80776" w:rsidRPr="002D560F">
        <w:rPr>
          <w:rFonts w:ascii="Arial" w:hAnsi="Arial" w:cs="Arial"/>
          <w:color w:val="010000"/>
          <w:sz w:val="20"/>
          <w:lang w:val="vi-VN"/>
        </w:rPr>
        <w:t xml:space="preserve"> the</w:t>
      </w:r>
      <w:r w:rsidRPr="002D560F">
        <w:rPr>
          <w:rFonts w:ascii="Arial" w:hAnsi="Arial" w:cs="Arial"/>
          <w:color w:val="010000"/>
          <w:sz w:val="20"/>
        </w:rPr>
        <w:t xml:space="preserve"> task orientation for 2024</w:t>
      </w:r>
    </w:p>
    <w:p w14:paraId="1F427576" w14:textId="77777777" w:rsidR="00A125B9" w:rsidRPr="002D560F" w:rsidRDefault="0005080F" w:rsidP="001D6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Approve the Report on the activities of the Board of Directors.</w:t>
      </w:r>
    </w:p>
    <w:p w14:paraId="53A10210" w14:textId="6887A25B" w:rsidR="00A125B9" w:rsidRPr="002D560F" w:rsidRDefault="0005080F" w:rsidP="001D6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Approve the </w:t>
      </w:r>
      <w:r w:rsidR="00A80776" w:rsidRPr="002D560F">
        <w:rPr>
          <w:rFonts w:ascii="Arial" w:hAnsi="Arial" w:cs="Arial"/>
          <w:color w:val="010000"/>
          <w:sz w:val="20"/>
          <w:lang w:val="vi-VN"/>
        </w:rPr>
        <w:t xml:space="preserve">Evaluation </w:t>
      </w:r>
      <w:r w:rsidRPr="002D560F">
        <w:rPr>
          <w:rFonts w:ascii="Arial" w:hAnsi="Arial" w:cs="Arial"/>
          <w:color w:val="010000"/>
          <w:sz w:val="20"/>
        </w:rPr>
        <w:t>Report of independent members of the Board of Directors on the activities of the Board of Directors</w:t>
      </w:r>
    </w:p>
    <w:p w14:paraId="62D9039D" w14:textId="77777777" w:rsidR="00A125B9" w:rsidRPr="002D560F" w:rsidRDefault="0005080F" w:rsidP="001D6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Approve the Report on the activities of the Supervisory Board.</w:t>
      </w:r>
    </w:p>
    <w:p w14:paraId="3A6C9C24" w14:textId="4DA753B5" w:rsidR="00A125B9" w:rsidRPr="002D560F" w:rsidRDefault="0005080F" w:rsidP="001D6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Approve the Financial Statements 2023 audited by UHY Auditing </w:t>
      </w:r>
      <w:r w:rsidR="00A80776" w:rsidRPr="002D560F">
        <w:rPr>
          <w:rFonts w:ascii="Arial" w:hAnsi="Arial" w:cs="Arial"/>
          <w:color w:val="010000"/>
          <w:sz w:val="20"/>
          <w:lang w:val="vi-VN"/>
        </w:rPr>
        <w:t xml:space="preserve">&amp; </w:t>
      </w:r>
      <w:r w:rsidRPr="002D560F">
        <w:rPr>
          <w:rFonts w:ascii="Arial" w:hAnsi="Arial" w:cs="Arial"/>
          <w:color w:val="010000"/>
          <w:sz w:val="20"/>
        </w:rPr>
        <w:t>Consulting Company Limited.</w:t>
      </w:r>
    </w:p>
    <w:p w14:paraId="73AEDF73" w14:textId="4A19425B" w:rsidR="00A125B9" w:rsidRPr="002D560F" w:rsidRDefault="0005080F" w:rsidP="001D6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Approve</w:t>
      </w:r>
      <w:r w:rsidR="00A80776" w:rsidRPr="002D560F">
        <w:rPr>
          <w:rFonts w:ascii="Arial" w:hAnsi="Arial" w:cs="Arial"/>
          <w:color w:val="010000"/>
          <w:sz w:val="20"/>
          <w:lang w:val="vi-VN"/>
        </w:rPr>
        <w:t xml:space="preserve"> the</w:t>
      </w:r>
      <w:r w:rsidR="00A80776" w:rsidRPr="002D560F">
        <w:rPr>
          <w:rFonts w:ascii="Arial" w:hAnsi="Arial" w:cs="Arial"/>
          <w:color w:val="010000"/>
          <w:sz w:val="20"/>
        </w:rPr>
        <w:t xml:space="preserve"> remuneration payment</w:t>
      </w:r>
      <w:r w:rsidR="00A80776" w:rsidRPr="002D560F">
        <w:rPr>
          <w:rFonts w:ascii="Arial" w:hAnsi="Arial" w:cs="Arial"/>
          <w:color w:val="010000"/>
          <w:sz w:val="20"/>
          <w:lang w:val="vi-VN"/>
        </w:rPr>
        <w:t xml:space="preserve"> for</w:t>
      </w:r>
      <w:r w:rsidRPr="002D560F">
        <w:rPr>
          <w:rFonts w:ascii="Arial" w:hAnsi="Arial" w:cs="Arial"/>
          <w:color w:val="010000"/>
          <w:sz w:val="20"/>
        </w:rPr>
        <w:t xml:space="preserve"> the Board of Directors and the Supervisory Board in 2023 and the plan for 2024</w:t>
      </w:r>
    </w:p>
    <w:p w14:paraId="16BF3ED5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Remuneration for the Board of Directors and the Supervisory Board in 2023: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91"/>
        <w:gridCol w:w="2936"/>
        <w:gridCol w:w="2781"/>
        <w:gridCol w:w="2509"/>
      </w:tblGrid>
      <w:tr w:rsidR="00A125B9" w:rsidRPr="002D560F" w14:paraId="5E1AC8CD" w14:textId="77777777" w:rsidTr="001D6316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DA3530" w14:textId="71B9B5EF" w:rsidR="00A125B9" w:rsidRPr="002D560F" w:rsidRDefault="001545EB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375B0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C57FD" w14:textId="70B8B25E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 xml:space="preserve">Expected </w:t>
            </w:r>
            <w:r w:rsidR="00A80776" w:rsidRPr="002D560F">
              <w:rPr>
                <w:rFonts w:ascii="Arial" w:hAnsi="Arial" w:cs="Arial"/>
                <w:color w:val="010000"/>
                <w:sz w:val="20"/>
                <w:lang w:val="vi-VN"/>
              </w:rPr>
              <w:t xml:space="preserve">remuneration </w:t>
            </w:r>
            <w:r w:rsidRPr="002D560F">
              <w:rPr>
                <w:rFonts w:ascii="Arial" w:hAnsi="Arial" w:cs="Arial"/>
                <w:color w:val="010000"/>
                <w:sz w:val="20"/>
              </w:rPr>
              <w:t xml:space="preserve">according to the </w:t>
            </w:r>
            <w:r w:rsidR="00A80776" w:rsidRPr="002D560F">
              <w:rPr>
                <w:rFonts w:ascii="Arial" w:hAnsi="Arial" w:cs="Arial"/>
                <w:color w:val="010000"/>
                <w:sz w:val="20"/>
                <w:lang w:val="vi-VN"/>
              </w:rPr>
              <w:t xml:space="preserve">Annual General Mandate 2023 </w:t>
            </w:r>
            <w:r w:rsidR="00A80776" w:rsidRPr="002D560F">
              <w:rPr>
                <w:rFonts w:ascii="Arial" w:hAnsi="Arial" w:cs="Arial"/>
                <w:color w:val="010000"/>
                <w:sz w:val="20"/>
              </w:rPr>
              <w:t>(</w:t>
            </w:r>
            <w:r w:rsidR="00A80776" w:rsidRPr="002D560F">
              <w:rPr>
                <w:rFonts w:ascii="Arial" w:hAnsi="Arial" w:cs="Arial"/>
                <w:color w:val="010000"/>
                <w:sz w:val="20"/>
                <w:lang w:val="vi-VN"/>
              </w:rPr>
              <w:t>VND/</w:t>
            </w:r>
            <w:r w:rsidRPr="002D560F">
              <w:rPr>
                <w:rFonts w:ascii="Arial" w:hAnsi="Arial" w:cs="Arial"/>
                <w:color w:val="010000"/>
                <w:sz w:val="20"/>
              </w:rPr>
              <w:t>person/month)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85827" w14:textId="4B579259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R</w:t>
            </w:r>
            <w:r w:rsidR="00A80776" w:rsidRPr="002D560F">
              <w:rPr>
                <w:rFonts w:ascii="Arial" w:hAnsi="Arial" w:cs="Arial"/>
                <w:color w:val="010000"/>
                <w:sz w:val="20"/>
              </w:rPr>
              <w:t>emuneration submitted for settlement approval</w:t>
            </w:r>
            <w:r w:rsidR="00A80776" w:rsidRPr="002D560F">
              <w:rPr>
                <w:rFonts w:ascii="Arial" w:hAnsi="Arial" w:cs="Arial"/>
                <w:color w:val="010000"/>
                <w:sz w:val="20"/>
              </w:rPr>
              <w:br/>
            </w:r>
            <w:r w:rsidRPr="002D560F">
              <w:rPr>
                <w:rFonts w:ascii="Arial" w:hAnsi="Arial" w:cs="Arial"/>
                <w:color w:val="010000"/>
                <w:sz w:val="20"/>
              </w:rPr>
              <w:t>(VND/person/month)</w:t>
            </w:r>
          </w:p>
        </w:tc>
      </w:tr>
      <w:tr w:rsidR="00A125B9" w:rsidRPr="002D560F" w14:paraId="69AFEA24" w14:textId="77777777" w:rsidTr="001D6316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64B65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D7433F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BB4C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924D65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9,000,000</w:t>
            </w:r>
          </w:p>
        </w:tc>
      </w:tr>
      <w:tr w:rsidR="00A125B9" w:rsidRPr="002D560F" w14:paraId="5B4A6A21" w14:textId="77777777" w:rsidTr="001D6316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B647BD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EADD47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7A870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8,000,000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459AA3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7,200,000</w:t>
            </w:r>
          </w:p>
        </w:tc>
      </w:tr>
      <w:tr w:rsidR="00A125B9" w:rsidRPr="002D560F" w14:paraId="0363ED6D" w14:textId="77777777" w:rsidTr="001D6316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66B33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B5CFE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The Chief of the Supervisory Board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B5178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8,000,000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1303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7,200,000</w:t>
            </w:r>
          </w:p>
        </w:tc>
      </w:tr>
      <w:tr w:rsidR="00A125B9" w:rsidRPr="002D560F" w14:paraId="3F4626EC" w14:textId="77777777" w:rsidTr="001D6316">
        <w:tc>
          <w:tcPr>
            <w:tcW w:w="43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9825AC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62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E9FE5F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154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02F8B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BCC7B5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5,400,000</w:t>
            </w:r>
          </w:p>
        </w:tc>
      </w:tr>
    </w:tbl>
    <w:p w14:paraId="0150001C" w14:textId="791D29E0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Remuneration for the Board of Directors and the Supervisory Board </w:t>
      </w:r>
      <w:r w:rsidR="00A80776" w:rsidRPr="002D560F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2D560F">
        <w:rPr>
          <w:rFonts w:ascii="Arial" w:hAnsi="Arial" w:cs="Arial"/>
          <w:color w:val="010000"/>
          <w:sz w:val="20"/>
        </w:rPr>
        <w:t>2024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5"/>
        <w:gridCol w:w="4083"/>
        <w:gridCol w:w="3809"/>
      </w:tblGrid>
      <w:tr w:rsidR="00A125B9" w:rsidRPr="002D560F" w14:paraId="46A442DB" w14:textId="77777777" w:rsidTr="001D6316"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0D383" w14:textId="2A8230D4" w:rsidR="00A125B9" w:rsidRPr="002D560F" w:rsidRDefault="001545EB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2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5F4247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Position</w:t>
            </w:r>
          </w:p>
        </w:tc>
        <w:tc>
          <w:tcPr>
            <w:tcW w:w="2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7E5C35" w14:textId="3D01F4A1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Remuneration (VND/ person/ month)</w:t>
            </w:r>
          </w:p>
        </w:tc>
      </w:tr>
      <w:tr w:rsidR="00A125B9" w:rsidRPr="002D560F" w14:paraId="1E34063A" w14:textId="77777777" w:rsidTr="001D6316"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5B117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87778D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The Chair of the Board of Directors</w:t>
            </w:r>
          </w:p>
        </w:tc>
        <w:tc>
          <w:tcPr>
            <w:tcW w:w="2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023EE8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10,000,000</w:t>
            </w:r>
          </w:p>
        </w:tc>
      </w:tr>
      <w:tr w:rsidR="00A125B9" w:rsidRPr="002D560F" w14:paraId="6A1E98C6" w14:textId="77777777" w:rsidTr="001D6316"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F9E8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2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D1C1D7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Member of the Board of Directors</w:t>
            </w:r>
          </w:p>
        </w:tc>
        <w:tc>
          <w:tcPr>
            <w:tcW w:w="2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06274D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8,000,000</w:t>
            </w:r>
          </w:p>
        </w:tc>
      </w:tr>
      <w:tr w:rsidR="00A125B9" w:rsidRPr="002D560F" w14:paraId="424C7A96" w14:textId="77777777" w:rsidTr="001D6316"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D7E20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2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741A6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The Chief of the Supervisory Board</w:t>
            </w:r>
          </w:p>
        </w:tc>
        <w:tc>
          <w:tcPr>
            <w:tcW w:w="2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6E30A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8,000,000</w:t>
            </w:r>
          </w:p>
        </w:tc>
      </w:tr>
      <w:tr w:rsidR="00A125B9" w:rsidRPr="002D560F" w14:paraId="72557858" w14:textId="77777777" w:rsidTr="001D6316">
        <w:tc>
          <w:tcPr>
            <w:tcW w:w="62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7AE2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226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AFCF1A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Member of the Supervisory Board</w:t>
            </w:r>
          </w:p>
        </w:tc>
        <w:tc>
          <w:tcPr>
            <w:tcW w:w="21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A8EB3E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6,000,000</w:t>
            </w:r>
          </w:p>
        </w:tc>
      </w:tr>
    </w:tbl>
    <w:p w14:paraId="53F6CB78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The remuneration of the Board of Directors and the Supervisory Board is allowed by the General Meeting of Shareholders to be accounted in the Company's operating expenses when incurred.</w:t>
      </w:r>
    </w:p>
    <w:p w14:paraId="3DE88C0B" w14:textId="77777777" w:rsidR="00A125B9" w:rsidRPr="002D560F" w:rsidRDefault="0005080F" w:rsidP="001D63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lastRenderedPageBreak/>
        <w:t>Approve the production and business results in 2023 and the profit distribution plan as follows:</w:t>
      </w:r>
    </w:p>
    <w:p w14:paraId="27FAD891" w14:textId="77777777" w:rsidR="006E4958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2D560F">
        <w:rPr>
          <w:rFonts w:ascii="Arial" w:hAnsi="Arial" w:cs="Arial"/>
          <w:color w:val="010000"/>
          <w:sz w:val="20"/>
        </w:rPr>
        <w:t>7.1. Results of production and</w:t>
      </w:r>
      <w:r w:rsidR="00F7639A" w:rsidRPr="002D560F">
        <w:rPr>
          <w:rFonts w:ascii="Arial" w:hAnsi="Arial" w:cs="Arial"/>
          <w:color w:val="010000"/>
          <w:sz w:val="20"/>
        </w:rPr>
        <w:t xml:space="preserve"> business activities (based on </w:t>
      </w:r>
      <w:r w:rsidR="00F7639A" w:rsidRPr="002D560F">
        <w:rPr>
          <w:rFonts w:ascii="Arial" w:hAnsi="Arial" w:cs="Arial"/>
          <w:color w:val="010000"/>
          <w:sz w:val="20"/>
          <w:lang w:val="vi-VN"/>
        </w:rPr>
        <w:t>the A</w:t>
      </w:r>
      <w:r w:rsidRPr="002D560F">
        <w:rPr>
          <w:rFonts w:ascii="Arial" w:hAnsi="Arial" w:cs="Arial"/>
          <w:color w:val="010000"/>
          <w:sz w:val="20"/>
        </w:rPr>
        <w:t xml:space="preserve">udited Financial Statements) </w:t>
      </w:r>
    </w:p>
    <w:p w14:paraId="1D51467C" w14:textId="55F4B61A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(Unit: VND)</w:t>
      </w:r>
    </w:p>
    <w:tbl>
      <w:tblPr>
        <w:tblStyle w:val="a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6841"/>
        <w:gridCol w:w="2186"/>
      </w:tblGrid>
      <w:tr w:rsidR="00A125B9" w:rsidRPr="002D560F" w14:paraId="05EFECFF" w14:textId="77777777" w:rsidTr="001D6316">
        <w:tc>
          <w:tcPr>
            <w:tcW w:w="3789" w:type="pct"/>
            <w:shd w:val="clear" w:color="auto" w:fill="auto"/>
            <w:vAlign w:val="center"/>
          </w:tcPr>
          <w:p w14:paraId="5209B745" w14:textId="77777777" w:rsidR="00A125B9" w:rsidRPr="002D560F" w:rsidRDefault="0005080F" w:rsidP="001D6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9C8C30F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7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453,288,599,350</w:t>
            </w:r>
          </w:p>
        </w:tc>
      </w:tr>
      <w:tr w:rsidR="00A125B9" w:rsidRPr="002D560F" w14:paraId="5B76F41F" w14:textId="77777777" w:rsidTr="001D6316">
        <w:tc>
          <w:tcPr>
            <w:tcW w:w="3789" w:type="pct"/>
            <w:shd w:val="clear" w:color="auto" w:fill="auto"/>
            <w:vAlign w:val="center"/>
          </w:tcPr>
          <w:p w14:paraId="60639E3E" w14:textId="0DD6E49C" w:rsidR="00A125B9" w:rsidRPr="002D560F" w:rsidRDefault="0005080F" w:rsidP="001D6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Undistributed profits tra</w:t>
            </w:r>
            <w:r w:rsidR="00F7639A" w:rsidRPr="002D560F">
              <w:rPr>
                <w:rFonts w:ascii="Arial" w:hAnsi="Arial" w:cs="Arial"/>
                <w:color w:val="010000"/>
                <w:sz w:val="20"/>
              </w:rPr>
              <w:t>nsferred from the previous year</w:t>
            </w:r>
            <w:r w:rsidR="00F7639A" w:rsidRPr="002D560F">
              <w:rPr>
                <w:rFonts w:ascii="Arial" w:hAnsi="Arial" w:cs="Arial"/>
                <w:color w:val="010000"/>
                <w:sz w:val="20"/>
                <w:lang w:val="vi-VN"/>
              </w:rPr>
              <w:t xml:space="preserve"> </w:t>
            </w:r>
            <w:r w:rsidRPr="002D560F">
              <w:rPr>
                <w:rFonts w:ascii="Arial" w:hAnsi="Arial" w:cs="Arial"/>
                <w:color w:val="010000"/>
                <w:sz w:val="20"/>
              </w:rPr>
              <w:t>(1):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68BAA5C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7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-220,217,002,727</w:t>
            </w:r>
          </w:p>
        </w:tc>
      </w:tr>
      <w:tr w:rsidR="00A125B9" w:rsidRPr="002D560F" w14:paraId="5A5E98D3" w14:textId="77777777" w:rsidTr="001D6316">
        <w:tc>
          <w:tcPr>
            <w:tcW w:w="3789" w:type="pct"/>
            <w:shd w:val="clear" w:color="auto" w:fill="auto"/>
            <w:vAlign w:val="center"/>
          </w:tcPr>
          <w:p w14:paraId="7D803CDF" w14:textId="080CF497" w:rsidR="00A125B9" w:rsidRPr="002D560F" w:rsidRDefault="0005080F" w:rsidP="001D6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Profit after tax 2023: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3BAC41A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7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-41,032,681,136</w:t>
            </w:r>
          </w:p>
        </w:tc>
      </w:tr>
      <w:tr w:rsidR="00A125B9" w:rsidRPr="002D560F" w14:paraId="6C72145E" w14:textId="77777777" w:rsidTr="001D6316">
        <w:tc>
          <w:tcPr>
            <w:tcW w:w="3789" w:type="pct"/>
            <w:shd w:val="clear" w:color="auto" w:fill="auto"/>
            <w:vAlign w:val="center"/>
          </w:tcPr>
          <w:p w14:paraId="7A19C099" w14:textId="77777777" w:rsidR="00A125B9" w:rsidRPr="002D560F" w:rsidRDefault="0005080F" w:rsidP="001D6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Profit after tax of the holding company (2):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8FEA7A4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77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-41,032,681,136</w:t>
            </w:r>
          </w:p>
        </w:tc>
      </w:tr>
      <w:tr w:rsidR="00A125B9" w:rsidRPr="002D560F" w14:paraId="099362D2" w14:textId="77777777" w:rsidTr="001D6316">
        <w:tc>
          <w:tcPr>
            <w:tcW w:w="3789" w:type="pct"/>
            <w:shd w:val="clear" w:color="auto" w:fill="auto"/>
            <w:vAlign w:val="center"/>
          </w:tcPr>
          <w:p w14:paraId="6F845986" w14:textId="77777777" w:rsidR="00A125B9" w:rsidRPr="002D560F" w:rsidRDefault="0005080F" w:rsidP="001D63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Profit after tax of non-controlling shareholders (3)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36B61CA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125B9" w:rsidRPr="002D560F" w14:paraId="775122A1" w14:textId="77777777" w:rsidTr="001D6316">
        <w:tc>
          <w:tcPr>
            <w:tcW w:w="3789" w:type="pct"/>
            <w:shd w:val="clear" w:color="auto" w:fill="auto"/>
            <w:vAlign w:val="center"/>
          </w:tcPr>
          <w:p w14:paraId="7642BCFF" w14:textId="1C34948C" w:rsidR="00A125B9" w:rsidRPr="002D560F" w:rsidRDefault="0005080F" w:rsidP="001D6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Accumulated profit after tax until 2023 (4</w:t>
            </w:r>
            <w:r w:rsidR="00F7639A" w:rsidRPr="002D560F">
              <w:rPr>
                <w:rFonts w:ascii="Arial" w:hAnsi="Arial" w:cs="Arial"/>
                <w:color w:val="010000"/>
                <w:sz w:val="20"/>
              </w:rPr>
              <w:t>)=(</w:t>
            </w:r>
            <w:r w:rsidR="00F7639A" w:rsidRPr="002D560F">
              <w:rPr>
                <w:rFonts w:ascii="Arial" w:hAnsi="Arial" w:cs="Arial"/>
                <w:color w:val="010000"/>
                <w:sz w:val="20"/>
                <w:lang w:val="vi-VN"/>
              </w:rPr>
              <w:t>1</w:t>
            </w:r>
            <w:r w:rsidRPr="002D560F">
              <w:rPr>
                <w:rFonts w:ascii="Arial" w:hAnsi="Arial" w:cs="Arial"/>
                <w:color w:val="010000"/>
                <w:sz w:val="20"/>
              </w:rPr>
              <w:t>)+(2):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7959710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1070"/>
                <w:tab w:val="left" w:pos="7721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-261,249,683,863</w:t>
            </w:r>
          </w:p>
        </w:tc>
      </w:tr>
    </w:tbl>
    <w:p w14:paraId="6967DB16" w14:textId="77777777" w:rsidR="006E4958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hAnsi="Arial" w:cs="Arial"/>
          <w:color w:val="010000"/>
          <w:sz w:val="20"/>
        </w:rPr>
      </w:pPr>
      <w:r w:rsidRPr="002D560F">
        <w:rPr>
          <w:rFonts w:ascii="Arial" w:hAnsi="Arial" w:cs="Arial"/>
          <w:color w:val="010000"/>
          <w:sz w:val="20"/>
        </w:rPr>
        <w:t xml:space="preserve">7.2. Plan on profit distribution: Expect to submit to the Annual General Meeting of Shareholders the profit distribution plan as follows </w:t>
      </w:r>
    </w:p>
    <w:p w14:paraId="6BB07B60" w14:textId="2CD7AF2B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(Unit: VND)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49"/>
        <w:gridCol w:w="3068"/>
      </w:tblGrid>
      <w:tr w:rsidR="00A125B9" w:rsidRPr="002D560F" w14:paraId="60E48ECB" w14:textId="77777777" w:rsidTr="001D6316">
        <w:tc>
          <w:tcPr>
            <w:tcW w:w="3299" w:type="pct"/>
            <w:shd w:val="clear" w:color="auto" w:fill="auto"/>
            <w:vAlign w:val="center"/>
          </w:tcPr>
          <w:p w14:paraId="6C7A0171" w14:textId="77777777" w:rsidR="00A125B9" w:rsidRPr="002D560F" w:rsidRDefault="0005080F" w:rsidP="001D6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Appropriation for bonus and welfare funds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1F9637BA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125B9" w:rsidRPr="002D560F" w14:paraId="0E7C83DE" w14:textId="77777777" w:rsidTr="001D6316">
        <w:tc>
          <w:tcPr>
            <w:tcW w:w="3299" w:type="pct"/>
            <w:shd w:val="clear" w:color="auto" w:fill="auto"/>
            <w:vAlign w:val="center"/>
          </w:tcPr>
          <w:p w14:paraId="3B46F2BD" w14:textId="77777777" w:rsidR="00A125B9" w:rsidRPr="002D560F" w:rsidRDefault="0005080F" w:rsidP="001D6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Appropriation for investment and development fund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2BDB1334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125B9" w:rsidRPr="002D560F" w14:paraId="009A28F7" w14:textId="77777777" w:rsidTr="001D6316">
        <w:tc>
          <w:tcPr>
            <w:tcW w:w="3299" w:type="pct"/>
            <w:shd w:val="clear" w:color="auto" w:fill="auto"/>
            <w:vAlign w:val="center"/>
          </w:tcPr>
          <w:p w14:paraId="59DB842F" w14:textId="2D48B872" w:rsidR="00A125B9" w:rsidRPr="002D560F" w:rsidRDefault="0005080F" w:rsidP="001D6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Dividends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556AE32D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</w:tr>
      <w:tr w:rsidR="00A125B9" w:rsidRPr="002D560F" w14:paraId="6828D8CA" w14:textId="77777777" w:rsidTr="001D6316">
        <w:tc>
          <w:tcPr>
            <w:tcW w:w="3299" w:type="pct"/>
            <w:shd w:val="clear" w:color="auto" w:fill="auto"/>
            <w:vAlign w:val="center"/>
          </w:tcPr>
          <w:p w14:paraId="3522499F" w14:textId="77777777" w:rsidR="00A125B9" w:rsidRPr="002D560F" w:rsidRDefault="0005080F" w:rsidP="001D63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Remaining undistributed profit after tax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7F6F33F2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-261,249,683,863</w:t>
            </w:r>
          </w:p>
        </w:tc>
      </w:tr>
    </w:tbl>
    <w:p w14:paraId="7A671A68" w14:textId="5768820C" w:rsidR="00A125B9" w:rsidRPr="002D560F" w:rsidRDefault="0005080F" w:rsidP="001D6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Approve the </w:t>
      </w:r>
      <w:r w:rsidR="00FF6CE2" w:rsidRPr="002D560F">
        <w:rPr>
          <w:rFonts w:ascii="Arial" w:hAnsi="Arial" w:cs="Arial"/>
          <w:color w:val="010000"/>
          <w:sz w:val="20"/>
          <w:lang w:val="vi-VN"/>
        </w:rPr>
        <w:t>b</w:t>
      </w:r>
      <w:r w:rsidRPr="002D560F">
        <w:rPr>
          <w:rFonts w:ascii="Arial" w:hAnsi="Arial" w:cs="Arial"/>
          <w:color w:val="010000"/>
          <w:sz w:val="20"/>
        </w:rPr>
        <w:t xml:space="preserve">usiness </w:t>
      </w:r>
      <w:r w:rsidR="00FF6CE2" w:rsidRPr="002D560F">
        <w:rPr>
          <w:rFonts w:ascii="Arial" w:hAnsi="Arial" w:cs="Arial"/>
          <w:color w:val="010000"/>
          <w:sz w:val="20"/>
          <w:lang w:val="vi-VN"/>
        </w:rPr>
        <w:t>p</w:t>
      </w:r>
      <w:r w:rsidR="00FF6CE2" w:rsidRPr="002D560F">
        <w:rPr>
          <w:rFonts w:ascii="Arial" w:hAnsi="Arial" w:cs="Arial"/>
          <w:color w:val="010000"/>
          <w:sz w:val="20"/>
        </w:rPr>
        <w:t xml:space="preserve">lan </w:t>
      </w:r>
      <w:r w:rsidR="00FF6CE2" w:rsidRPr="002D560F">
        <w:rPr>
          <w:rFonts w:ascii="Arial" w:hAnsi="Arial" w:cs="Arial"/>
          <w:color w:val="010000"/>
          <w:sz w:val="20"/>
          <w:lang w:val="vi-VN"/>
        </w:rPr>
        <w:t xml:space="preserve">for </w:t>
      </w:r>
      <w:r w:rsidRPr="002D560F">
        <w:rPr>
          <w:rFonts w:ascii="Arial" w:hAnsi="Arial" w:cs="Arial"/>
          <w:color w:val="010000"/>
          <w:sz w:val="20"/>
        </w:rPr>
        <w:t>2024 as follows: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06"/>
        <w:gridCol w:w="3188"/>
        <w:gridCol w:w="1248"/>
        <w:gridCol w:w="1807"/>
        <w:gridCol w:w="1668"/>
      </w:tblGrid>
      <w:tr w:rsidR="00A125B9" w:rsidRPr="002D560F" w14:paraId="5125C123" w14:textId="77777777" w:rsidTr="001D6316"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6D0523" w14:textId="63402A1D" w:rsidR="00A125B9" w:rsidRPr="002D560F" w:rsidRDefault="001545EB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6AFC23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579E30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Unit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C584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Results 2023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B26DA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Plan 2024</w:t>
            </w:r>
          </w:p>
        </w:tc>
      </w:tr>
      <w:tr w:rsidR="00A125B9" w:rsidRPr="002D560F" w14:paraId="653D199A" w14:textId="77777777" w:rsidTr="001D6316"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6F4644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75D6B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Charter capital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7ACFC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B41497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86C4E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125B9" w:rsidRPr="002D560F" w14:paraId="4B521388" w14:textId="77777777" w:rsidTr="001D6316"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0C05A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0E5C8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Net revenue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BBD98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95393B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453.3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16BD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150-200</w:t>
            </w:r>
          </w:p>
        </w:tc>
      </w:tr>
      <w:tr w:rsidR="00A125B9" w:rsidRPr="002D560F" w14:paraId="37E52775" w14:textId="77777777" w:rsidTr="001D6316"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423BF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9C19F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Profit before tax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9D3926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A662E3" w14:textId="320E2DDB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</w:t>
            </w:r>
            <w:r w:rsidR="00FF6CE2" w:rsidRPr="002D560F">
              <w:rPr>
                <w:rFonts w:ascii="Arial" w:hAnsi="Arial" w:cs="Arial"/>
                <w:color w:val="010000"/>
                <w:sz w:val="20"/>
                <w:lang w:val="vi-VN"/>
              </w:rPr>
              <w:t>41.</w:t>
            </w:r>
            <w:r w:rsidRPr="002D560F">
              <w:rPr>
                <w:rFonts w:ascii="Arial" w:hAnsi="Arial" w:cs="Arial"/>
                <w:color w:val="010000"/>
                <w:sz w:val="20"/>
              </w:rPr>
              <w:t>032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C7084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1-2</w:t>
            </w:r>
          </w:p>
        </w:tc>
      </w:tr>
      <w:tr w:rsidR="00A125B9" w:rsidRPr="002D560F" w14:paraId="1157DDCE" w14:textId="77777777" w:rsidTr="001D6316"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7937C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51F00A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Corporate income tax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726A0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96EF3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0217CC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0.2- 0.4</w:t>
            </w:r>
          </w:p>
        </w:tc>
      </w:tr>
      <w:tr w:rsidR="00A125B9" w:rsidRPr="002D560F" w14:paraId="599B757D" w14:textId="77777777" w:rsidTr="001D6316"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E4E28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D25151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Profit after tax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68458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Billion VND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8FD75F" w14:textId="0C9CDFC9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</w:t>
            </w:r>
            <w:r w:rsidR="00FF6CE2" w:rsidRPr="002D560F">
              <w:rPr>
                <w:rFonts w:ascii="Arial" w:hAnsi="Arial" w:cs="Arial"/>
                <w:color w:val="010000"/>
                <w:sz w:val="20"/>
                <w:lang w:val="vi-VN"/>
              </w:rPr>
              <w:t>41.</w:t>
            </w:r>
            <w:r w:rsidRPr="002D560F">
              <w:rPr>
                <w:rFonts w:ascii="Arial" w:hAnsi="Arial" w:cs="Arial"/>
                <w:color w:val="010000"/>
                <w:sz w:val="20"/>
              </w:rPr>
              <w:t>032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462236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0.8 - 1.6</w:t>
            </w:r>
          </w:p>
        </w:tc>
      </w:tr>
      <w:tr w:rsidR="00A125B9" w:rsidRPr="002D560F" w14:paraId="418E8D66" w14:textId="77777777" w:rsidTr="001D6316"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730A0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113967" w14:textId="59D8AAC7" w:rsidR="00A125B9" w:rsidRPr="002D560F" w:rsidRDefault="00FF6CE2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 xml:space="preserve">Appropriation for </w:t>
            </w:r>
            <w:r w:rsidR="006E4958" w:rsidRPr="002D560F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Pr="002D560F">
              <w:rPr>
                <w:rFonts w:ascii="Arial" w:hAnsi="Arial" w:cs="Arial"/>
                <w:color w:val="010000"/>
                <w:sz w:val="20"/>
              </w:rPr>
              <w:t>reserve fund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D3DEA3" w14:textId="77777777" w:rsidR="00A125B9" w:rsidRPr="002D560F" w:rsidRDefault="00A125B9" w:rsidP="001D6316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0F239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295AD7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-</w:t>
            </w:r>
          </w:p>
        </w:tc>
      </w:tr>
      <w:tr w:rsidR="00A125B9" w:rsidRPr="002D560F" w14:paraId="33B05A6F" w14:textId="77777777" w:rsidTr="001D6316">
        <w:tc>
          <w:tcPr>
            <w:tcW w:w="6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D34ABD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176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E6EF7C" w14:textId="6717E7E6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Expected dividend payment rate</w:t>
            </w:r>
          </w:p>
        </w:tc>
        <w:tc>
          <w:tcPr>
            <w:tcW w:w="69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7E0BB7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%</w:t>
            </w:r>
          </w:p>
        </w:tc>
        <w:tc>
          <w:tcPr>
            <w:tcW w:w="100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9430A3" w14:textId="77777777" w:rsidR="00A125B9" w:rsidRPr="002D560F" w:rsidRDefault="0005080F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right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1AD028" w14:textId="517988CD" w:rsidR="00A125B9" w:rsidRPr="002D560F" w:rsidRDefault="00FF6CE2" w:rsidP="001D6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2D560F">
              <w:rPr>
                <w:rFonts w:ascii="Arial" w:hAnsi="Arial" w:cs="Arial"/>
                <w:color w:val="010000"/>
                <w:sz w:val="20"/>
              </w:rPr>
              <w:t>Depends</w:t>
            </w:r>
            <w:r w:rsidR="0005080F" w:rsidRPr="002D560F">
              <w:rPr>
                <w:rFonts w:ascii="Arial" w:hAnsi="Arial" w:cs="Arial"/>
                <w:color w:val="010000"/>
                <w:sz w:val="20"/>
              </w:rPr>
              <w:t xml:space="preserve"> on the actual situation</w:t>
            </w:r>
          </w:p>
        </w:tc>
      </w:tr>
    </w:tbl>
    <w:p w14:paraId="0F8A2E3E" w14:textId="2CF2162B" w:rsidR="00A125B9" w:rsidRPr="002D560F" w:rsidRDefault="0005080F" w:rsidP="001D63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0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Approve the list of independent </w:t>
      </w:r>
      <w:r w:rsidR="00FF6CE2" w:rsidRPr="002D560F">
        <w:rPr>
          <w:rFonts w:ascii="Arial" w:hAnsi="Arial" w:cs="Arial"/>
          <w:color w:val="010000"/>
          <w:sz w:val="20"/>
          <w:lang w:val="vi-VN"/>
        </w:rPr>
        <w:t xml:space="preserve">audit </w:t>
      </w:r>
      <w:r w:rsidRPr="002D560F">
        <w:rPr>
          <w:rFonts w:ascii="Arial" w:hAnsi="Arial" w:cs="Arial"/>
          <w:color w:val="010000"/>
          <w:sz w:val="20"/>
        </w:rPr>
        <w:t xml:space="preserve">companies to audit the Financial Statements 2024 </w:t>
      </w:r>
    </w:p>
    <w:p w14:paraId="431CB2CD" w14:textId="2E4F153F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The General Meeting of Shareholders</w:t>
      </w:r>
      <w:r w:rsidR="00FF6CE2" w:rsidRPr="002D560F">
        <w:rPr>
          <w:rFonts w:ascii="Arial" w:hAnsi="Arial" w:cs="Arial"/>
          <w:color w:val="010000"/>
          <w:sz w:val="20"/>
        </w:rPr>
        <w:t xml:space="preserve"> </w:t>
      </w:r>
      <w:r w:rsidR="00FF6CE2" w:rsidRPr="002D560F">
        <w:rPr>
          <w:rFonts w:ascii="Arial" w:hAnsi="Arial" w:cs="Arial"/>
          <w:color w:val="010000"/>
          <w:sz w:val="20"/>
          <w:lang w:val="vi-VN"/>
        </w:rPr>
        <w:t>approved</w:t>
      </w:r>
      <w:r w:rsidRPr="002D560F">
        <w:rPr>
          <w:rFonts w:ascii="Arial" w:hAnsi="Arial" w:cs="Arial"/>
          <w:color w:val="010000"/>
          <w:sz w:val="20"/>
        </w:rPr>
        <w:t xml:space="preserve"> the list o</w:t>
      </w:r>
      <w:r w:rsidR="00FF6CE2" w:rsidRPr="002D560F">
        <w:rPr>
          <w:rFonts w:ascii="Arial" w:hAnsi="Arial" w:cs="Arial"/>
          <w:color w:val="010000"/>
          <w:sz w:val="20"/>
        </w:rPr>
        <w:t xml:space="preserve">f audit companies and </w:t>
      </w:r>
      <w:r w:rsidR="00FF6CE2" w:rsidRPr="002D560F">
        <w:rPr>
          <w:rFonts w:ascii="Arial" w:hAnsi="Arial" w:cs="Arial"/>
          <w:color w:val="010000"/>
          <w:sz w:val="20"/>
          <w:lang w:val="vi-VN"/>
        </w:rPr>
        <w:t>authorized</w:t>
      </w:r>
      <w:r w:rsidRPr="002D560F">
        <w:rPr>
          <w:rFonts w:ascii="Arial" w:hAnsi="Arial" w:cs="Arial"/>
          <w:color w:val="010000"/>
          <w:sz w:val="20"/>
        </w:rPr>
        <w:t xml:space="preserve"> the Board of Directors to decide to select one of the companie</w:t>
      </w:r>
      <w:r w:rsidR="00FF6CE2" w:rsidRPr="002D560F">
        <w:rPr>
          <w:rFonts w:ascii="Arial" w:hAnsi="Arial" w:cs="Arial"/>
          <w:color w:val="010000"/>
          <w:sz w:val="20"/>
        </w:rPr>
        <w:t xml:space="preserve">s below as the auditor for the </w:t>
      </w:r>
      <w:r w:rsidR="00FF6CE2" w:rsidRPr="002D560F">
        <w:rPr>
          <w:rFonts w:ascii="Arial" w:hAnsi="Arial" w:cs="Arial"/>
          <w:color w:val="010000"/>
          <w:sz w:val="20"/>
          <w:lang w:val="vi-VN"/>
        </w:rPr>
        <w:t>f</w:t>
      </w:r>
      <w:r w:rsidR="00FF6CE2" w:rsidRPr="002D560F">
        <w:rPr>
          <w:rFonts w:ascii="Arial" w:hAnsi="Arial" w:cs="Arial"/>
          <w:color w:val="010000"/>
          <w:sz w:val="20"/>
        </w:rPr>
        <w:t xml:space="preserve">iscal </w:t>
      </w:r>
      <w:r w:rsidR="00FF6CE2" w:rsidRPr="002D560F">
        <w:rPr>
          <w:rFonts w:ascii="Arial" w:hAnsi="Arial" w:cs="Arial"/>
          <w:color w:val="010000"/>
          <w:sz w:val="20"/>
          <w:lang w:val="vi-VN"/>
        </w:rPr>
        <w:t>y</w:t>
      </w:r>
      <w:r w:rsidRPr="002D560F">
        <w:rPr>
          <w:rFonts w:ascii="Arial" w:hAnsi="Arial" w:cs="Arial"/>
          <w:color w:val="010000"/>
          <w:sz w:val="20"/>
        </w:rPr>
        <w:t>ear 2024 of Quang Binh Import and Export Joint Stock Company:</w:t>
      </w:r>
    </w:p>
    <w:p w14:paraId="3F0437BE" w14:textId="5CCD7DB1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KPMG Limited (KPMG)</w:t>
      </w:r>
    </w:p>
    <w:p w14:paraId="1FDB42A0" w14:textId="551270ED" w:rsidR="00A125B9" w:rsidRPr="002D560F" w:rsidRDefault="00FF6CE2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lastRenderedPageBreak/>
        <w:t>Ernst &amp; Young</w:t>
      </w:r>
      <w:r w:rsidR="0005080F" w:rsidRPr="002D560F">
        <w:rPr>
          <w:rFonts w:ascii="Arial" w:hAnsi="Arial" w:cs="Arial"/>
          <w:color w:val="010000"/>
          <w:sz w:val="20"/>
        </w:rPr>
        <w:t xml:space="preserve"> Viet Nam Limited (E&amp;Y)</w:t>
      </w:r>
    </w:p>
    <w:p w14:paraId="3997BC5B" w14:textId="09B91FC6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Deloitte Vietnam</w:t>
      </w:r>
      <w:r w:rsidR="00191F12" w:rsidRPr="002D560F">
        <w:rPr>
          <w:rFonts w:ascii="Arial" w:hAnsi="Arial" w:cs="Arial"/>
          <w:color w:val="010000"/>
          <w:sz w:val="20"/>
        </w:rPr>
        <w:t xml:space="preserve"> Audit</w:t>
      </w:r>
      <w:r w:rsidRPr="002D560F">
        <w:rPr>
          <w:rFonts w:ascii="Arial" w:hAnsi="Arial" w:cs="Arial"/>
          <w:color w:val="010000"/>
          <w:sz w:val="20"/>
        </w:rPr>
        <w:t xml:space="preserve"> Company Limited (DELOITTE)</w:t>
      </w:r>
    </w:p>
    <w:p w14:paraId="0D21CCCC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A&amp;C Auditing and Consulting Company Limited (A&amp;C)</w:t>
      </w:r>
    </w:p>
    <w:p w14:paraId="64BA6A80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AASC Auditing Firm Company Limited (AASC)</w:t>
      </w:r>
    </w:p>
    <w:p w14:paraId="5E9499C6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PWC (Vietnam) Limited (PWC)</w:t>
      </w:r>
    </w:p>
    <w:p w14:paraId="05DC22A4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Grant Thornton (Vietnam) Limited (GT)</w:t>
      </w:r>
    </w:p>
    <w:p w14:paraId="69299BA8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AAC Auditing and Accounting Company Limited (AAC)</w:t>
      </w:r>
    </w:p>
    <w:p w14:paraId="7C457111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0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AFC Vietnam Auditing Company Limited (AFC)</w:t>
      </w:r>
    </w:p>
    <w:p w14:paraId="0F0F8EBE" w14:textId="2371A40D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6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Moore </w:t>
      </w:r>
      <w:r w:rsidR="00191F12" w:rsidRPr="002D560F">
        <w:rPr>
          <w:rFonts w:ascii="Arial" w:hAnsi="Arial" w:cs="Arial"/>
          <w:color w:val="010000"/>
          <w:sz w:val="20"/>
        </w:rPr>
        <w:t>AISC Auditing a</w:t>
      </w:r>
      <w:r w:rsidRPr="002D560F">
        <w:rPr>
          <w:rFonts w:ascii="Arial" w:hAnsi="Arial" w:cs="Arial"/>
          <w:color w:val="010000"/>
          <w:sz w:val="20"/>
        </w:rPr>
        <w:t>nd Informatics Services Company Limited (MOORE AISC)</w:t>
      </w:r>
    </w:p>
    <w:p w14:paraId="62E3C259" w14:textId="606AB94B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UHY Auditing </w:t>
      </w:r>
      <w:r w:rsidR="00191F12" w:rsidRPr="002D560F">
        <w:rPr>
          <w:rFonts w:ascii="Arial" w:hAnsi="Arial" w:cs="Arial"/>
          <w:color w:val="010000"/>
          <w:sz w:val="20"/>
        </w:rPr>
        <w:t>&amp;</w:t>
      </w:r>
      <w:r w:rsidRPr="002D560F">
        <w:rPr>
          <w:rFonts w:ascii="Arial" w:hAnsi="Arial" w:cs="Arial"/>
          <w:color w:val="010000"/>
          <w:sz w:val="20"/>
        </w:rPr>
        <w:t xml:space="preserve"> Consulting Company Limited (UHY)</w:t>
      </w:r>
    </w:p>
    <w:p w14:paraId="56A3BA6E" w14:textId="0BB77860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RSM Vietnam Auditing &amp; Consulting Limited (RSM)</w:t>
      </w:r>
    </w:p>
    <w:p w14:paraId="6233EF97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VACO Auditing Company Limited (VACO)</w:t>
      </w:r>
    </w:p>
    <w:p w14:paraId="7D7B67B1" w14:textId="25557DC2" w:rsidR="00A125B9" w:rsidRPr="002D560F" w:rsidRDefault="00191F12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Anviet </w:t>
      </w:r>
      <w:r w:rsidR="0005080F" w:rsidRPr="002D560F">
        <w:rPr>
          <w:rFonts w:ascii="Arial" w:hAnsi="Arial" w:cs="Arial"/>
          <w:color w:val="010000"/>
          <w:sz w:val="20"/>
        </w:rPr>
        <w:t xml:space="preserve">Auditing </w:t>
      </w:r>
      <w:r w:rsidRPr="002D560F">
        <w:rPr>
          <w:rFonts w:ascii="Arial" w:hAnsi="Arial" w:cs="Arial"/>
          <w:color w:val="010000"/>
          <w:sz w:val="20"/>
        </w:rPr>
        <w:t xml:space="preserve">Firm </w:t>
      </w:r>
      <w:r w:rsidR="0005080F" w:rsidRPr="002D560F">
        <w:rPr>
          <w:rFonts w:ascii="Arial" w:hAnsi="Arial" w:cs="Arial"/>
          <w:color w:val="010000"/>
          <w:sz w:val="20"/>
        </w:rPr>
        <w:t>Company Limited (AN VIET)</w:t>
      </w:r>
    </w:p>
    <w:p w14:paraId="0245EA77" w14:textId="4891D855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BDO Audit Services </w:t>
      </w:r>
      <w:r w:rsidR="00191F12" w:rsidRPr="002D560F">
        <w:rPr>
          <w:rFonts w:ascii="Arial" w:hAnsi="Arial" w:cs="Arial"/>
          <w:color w:val="010000"/>
          <w:sz w:val="20"/>
        </w:rPr>
        <w:t>Co., Ltd</w:t>
      </w:r>
      <w:r w:rsidRPr="002D560F">
        <w:rPr>
          <w:rFonts w:ascii="Arial" w:hAnsi="Arial" w:cs="Arial"/>
          <w:color w:val="010000"/>
          <w:sz w:val="20"/>
        </w:rPr>
        <w:t xml:space="preserve"> (BDO)</w:t>
      </w:r>
    </w:p>
    <w:p w14:paraId="4F407FC4" w14:textId="6F1EE9D8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FAC Auditing Company Limited (</w:t>
      </w:r>
      <w:r w:rsidR="00191F12" w:rsidRPr="002D560F">
        <w:rPr>
          <w:rFonts w:ascii="Arial" w:hAnsi="Arial" w:cs="Arial"/>
          <w:color w:val="010000"/>
          <w:sz w:val="20"/>
        </w:rPr>
        <w:t>FAC</w:t>
      </w:r>
      <w:r w:rsidRPr="002D560F">
        <w:rPr>
          <w:rFonts w:ascii="Arial" w:hAnsi="Arial" w:cs="Arial"/>
          <w:color w:val="010000"/>
          <w:sz w:val="20"/>
        </w:rPr>
        <w:t>)</w:t>
      </w:r>
    </w:p>
    <w:p w14:paraId="7872664E" w14:textId="01C2F921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Viet Nam Auditing &amp; Evaluation </w:t>
      </w:r>
      <w:r w:rsidR="00191F12" w:rsidRPr="002D560F">
        <w:rPr>
          <w:rFonts w:ascii="Arial" w:hAnsi="Arial" w:cs="Arial"/>
          <w:color w:val="010000"/>
          <w:sz w:val="20"/>
        </w:rPr>
        <w:t>Co., Ltd</w:t>
      </w:r>
      <w:r w:rsidRPr="002D560F">
        <w:rPr>
          <w:rFonts w:ascii="Arial" w:hAnsi="Arial" w:cs="Arial"/>
          <w:color w:val="010000"/>
          <w:sz w:val="20"/>
        </w:rPr>
        <w:t xml:space="preserve"> (VAE)</w:t>
      </w:r>
    </w:p>
    <w:p w14:paraId="57CBC8F4" w14:textId="6AF0DA81" w:rsidR="00A125B9" w:rsidRPr="002D560F" w:rsidRDefault="00191F12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6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ECOVIS AFA VIETNAM Auditing- Appraisal and Consulting Company Limited</w:t>
      </w:r>
      <w:r w:rsidR="002D560F" w:rsidRPr="002D560F">
        <w:rPr>
          <w:rFonts w:ascii="Arial" w:hAnsi="Arial" w:cs="Arial"/>
          <w:color w:val="010000"/>
          <w:sz w:val="20"/>
        </w:rPr>
        <w:t xml:space="preserve"> (ECOVIS AFA VIETNAM)</w:t>
      </w:r>
    </w:p>
    <w:p w14:paraId="3FE913FB" w14:textId="37846D38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4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International Auditing Company Limited (ICPA)</w:t>
      </w:r>
    </w:p>
    <w:p w14:paraId="6BB047C4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DFK Viet Nam Auditing Company Limited (DFK)</w:t>
      </w:r>
    </w:p>
    <w:p w14:paraId="64BE2442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CPA Vietnam Auditing Company Limited (CPA VIETNAM)</w:t>
      </w:r>
    </w:p>
    <w:p w14:paraId="6D81F421" w14:textId="2BA3BB9F" w:rsidR="00A125B9" w:rsidRPr="002D560F" w:rsidRDefault="00191F12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VIETVALUES Auditing and Consulting Co., Ltd</w:t>
      </w:r>
    </w:p>
    <w:p w14:paraId="2D7F955E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ASCO Firm Auditing And Valuation Company Limited (ASCO)</w:t>
      </w:r>
    </w:p>
    <w:p w14:paraId="129208E6" w14:textId="66DE14C1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9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Southern Auditing </w:t>
      </w:r>
      <w:r w:rsidR="00191F12" w:rsidRPr="002D560F">
        <w:rPr>
          <w:rFonts w:ascii="Arial" w:hAnsi="Arial" w:cs="Arial"/>
          <w:color w:val="010000"/>
          <w:sz w:val="20"/>
        </w:rPr>
        <w:t>and</w:t>
      </w:r>
      <w:r w:rsidRPr="002D560F">
        <w:rPr>
          <w:rFonts w:ascii="Arial" w:hAnsi="Arial" w:cs="Arial"/>
          <w:color w:val="010000"/>
          <w:sz w:val="20"/>
        </w:rPr>
        <w:t xml:space="preserve"> Accounting Financial Consulting Services Company Limited (AASCS)</w:t>
      </w:r>
    </w:p>
    <w:p w14:paraId="076C198E" w14:textId="77777777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Nhan Tam Viet Auditing Company Limited (NVT)</w:t>
      </w:r>
    </w:p>
    <w:p w14:paraId="591D0053" w14:textId="479FF457" w:rsidR="00A125B9" w:rsidRPr="002D560F" w:rsidRDefault="00F469C3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S&amp;S Auditing </w:t>
      </w:r>
      <w:r w:rsidRPr="002D560F">
        <w:rPr>
          <w:rFonts w:ascii="Arial" w:hAnsi="Arial" w:cs="Arial"/>
          <w:color w:val="010000"/>
          <w:sz w:val="20"/>
          <w:lang w:val="vi-VN"/>
        </w:rPr>
        <w:t>a</w:t>
      </w:r>
      <w:r w:rsidR="0005080F" w:rsidRPr="002D560F">
        <w:rPr>
          <w:rFonts w:ascii="Arial" w:hAnsi="Arial" w:cs="Arial"/>
          <w:color w:val="010000"/>
          <w:sz w:val="20"/>
        </w:rPr>
        <w:t>nd Consulting Co., Ltd. (S&amp;S)</w:t>
      </w:r>
    </w:p>
    <w:p w14:paraId="48A262A4" w14:textId="3F422067" w:rsidR="00A125B9" w:rsidRPr="002D560F" w:rsidRDefault="00F469C3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Viet Nam Auditing a</w:t>
      </w:r>
      <w:r w:rsidR="0005080F" w:rsidRPr="002D560F">
        <w:rPr>
          <w:rFonts w:ascii="Arial" w:hAnsi="Arial" w:cs="Arial"/>
          <w:color w:val="010000"/>
          <w:sz w:val="20"/>
        </w:rPr>
        <w:t>nd Valuation Company Limited (AVA)</w:t>
      </w:r>
    </w:p>
    <w:p w14:paraId="18AF1C66" w14:textId="44CDABAE" w:rsidR="00A125B9" w:rsidRPr="002D560F" w:rsidRDefault="0005080F" w:rsidP="001D63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67"/>
          <w:tab w:val="left" w:pos="117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International Auditing </w:t>
      </w:r>
      <w:r w:rsidR="00F469C3" w:rsidRPr="002D560F">
        <w:rPr>
          <w:rFonts w:ascii="Arial" w:hAnsi="Arial" w:cs="Arial"/>
          <w:color w:val="010000"/>
          <w:sz w:val="20"/>
          <w:lang w:val="vi-VN"/>
        </w:rPr>
        <w:t>a</w:t>
      </w:r>
      <w:r w:rsidRPr="002D560F">
        <w:rPr>
          <w:rFonts w:ascii="Arial" w:hAnsi="Arial" w:cs="Arial"/>
          <w:color w:val="010000"/>
          <w:sz w:val="20"/>
        </w:rPr>
        <w:t>nd Valuation Company Limited (IAV)</w:t>
      </w:r>
    </w:p>
    <w:p w14:paraId="10E14156" w14:textId="1C5EB8F1" w:rsidR="00A125B9" w:rsidRPr="002D560F" w:rsidRDefault="0005080F" w:rsidP="001D63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Approve</w:t>
      </w:r>
      <w:r w:rsidR="00F469C3" w:rsidRPr="002D560F">
        <w:rPr>
          <w:rFonts w:ascii="Arial" w:hAnsi="Arial" w:cs="Arial"/>
          <w:color w:val="010000"/>
          <w:sz w:val="20"/>
        </w:rPr>
        <w:t xml:space="preserve"> the amendment to the Internal </w:t>
      </w:r>
      <w:r w:rsidR="00F469C3" w:rsidRPr="002D560F">
        <w:rPr>
          <w:rFonts w:ascii="Arial" w:hAnsi="Arial" w:cs="Arial"/>
          <w:color w:val="010000"/>
          <w:sz w:val="20"/>
          <w:lang w:val="vi-VN"/>
        </w:rPr>
        <w:t>R</w:t>
      </w:r>
      <w:r w:rsidRPr="002D560F">
        <w:rPr>
          <w:rFonts w:ascii="Arial" w:hAnsi="Arial" w:cs="Arial"/>
          <w:color w:val="010000"/>
          <w:sz w:val="20"/>
        </w:rPr>
        <w:t>egulations on Corporate Governance</w:t>
      </w:r>
    </w:p>
    <w:p w14:paraId="2C943046" w14:textId="50D526D8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Assign the Chair of the Board of Directors to sign and promulgate the Internal Regulations on </w:t>
      </w:r>
      <w:r w:rsidR="00F469C3" w:rsidRPr="002D560F">
        <w:rPr>
          <w:rFonts w:ascii="Arial" w:hAnsi="Arial" w:cs="Arial"/>
          <w:color w:val="010000"/>
          <w:sz w:val="20"/>
          <w:lang w:val="vi-VN"/>
        </w:rPr>
        <w:t>C</w:t>
      </w:r>
      <w:r w:rsidRPr="002D560F">
        <w:rPr>
          <w:rFonts w:ascii="Arial" w:hAnsi="Arial" w:cs="Arial"/>
          <w:color w:val="010000"/>
          <w:sz w:val="20"/>
        </w:rPr>
        <w:t xml:space="preserve">orporate </w:t>
      </w:r>
      <w:r w:rsidR="00F469C3" w:rsidRPr="002D560F">
        <w:rPr>
          <w:rFonts w:ascii="Arial" w:hAnsi="Arial" w:cs="Arial"/>
          <w:color w:val="010000"/>
          <w:sz w:val="20"/>
          <w:lang w:val="vi-VN"/>
        </w:rPr>
        <w:t>G</w:t>
      </w:r>
      <w:r w:rsidRPr="002D560F">
        <w:rPr>
          <w:rFonts w:ascii="Arial" w:hAnsi="Arial" w:cs="Arial"/>
          <w:color w:val="010000"/>
          <w:sz w:val="20"/>
        </w:rPr>
        <w:t>overnance after being approved by the General Meeting of Shareholders.</w:t>
      </w:r>
    </w:p>
    <w:p w14:paraId="4C0CB177" w14:textId="77777777" w:rsidR="00A125B9" w:rsidRPr="002D560F" w:rsidRDefault="0005080F" w:rsidP="001D63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lastRenderedPageBreak/>
        <w:t>Approve the amendments of the Company's Charter</w:t>
      </w:r>
    </w:p>
    <w:p w14:paraId="1E00F960" w14:textId="78D93A3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Assign the Company’s legal representative to organize the signing and promulgation of the amended </w:t>
      </w:r>
      <w:r w:rsidR="00F469C3" w:rsidRPr="002D560F">
        <w:rPr>
          <w:rFonts w:ascii="Arial" w:hAnsi="Arial" w:cs="Arial"/>
          <w:color w:val="010000"/>
          <w:sz w:val="20"/>
          <w:lang w:val="vi-VN"/>
        </w:rPr>
        <w:t>Company’s</w:t>
      </w:r>
      <w:r w:rsidRPr="002D560F">
        <w:rPr>
          <w:rFonts w:ascii="Arial" w:hAnsi="Arial" w:cs="Arial"/>
          <w:color w:val="010000"/>
          <w:sz w:val="20"/>
        </w:rPr>
        <w:t xml:space="preserve"> Charter after it is approved by the General Meeting of Shareholders.</w:t>
      </w:r>
    </w:p>
    <w:p w14:paraId="266B94DE" w14:textId="209C759E" w:rsidR="00A125B9" w:rsidRPr="002D560F" w:rsidRDefault="0005080F" w:rsidP="001D63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Approve the dismissal and election of additional members of the Board of Directors</w:t>
      </w:r>
    </w:p>
    <w:p w14:paraId="083ADCF2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 xml:space="preserve">Dismiss Ms. Vu Thi Duong from the position of member of the Board of Directors for the term 2021 - 2026 </w:t>
      </w:r>
    </w:p>
    <w:p w14:paraId="553AF0A7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Elect additional members for the Board of Directors to continue the term 2021 - 2026</w:t>
      </w:r>
    </w:p>
    <w:p w14:paraId="512F0E1C" w14:textId="4898A09F" w:rsidR="00A125B9" w:rsidRPr="002D560F" w:rsidRDefault="0005080F" w:rsidP="001D6316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Elect additional members for the Board of Directors for the term 2021 - 2026</w:t>
      </w:r>
    </w:p>
    <w:p w14:paraId="153D210A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Ms. Tran Thi Yen Chi was additionally elected as a member of the Board of Directors for the term 2021 - 2026.</w:t>
      </w:r>
    </w:p>
    <w:p w14:paraId="65294071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‎‎Article 2. Terms of enforcement</w:t>
      </w:r>
    </w:p>
    <w:p w14:paraId="7A9A17A6" w14:textId="77777777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2D560F">
        <w:rPr>
          <w:rFonts w:ascii="Arial" w:hAnsi="Arial" w:cs="Arial"/>
          <w:color w:val="010000"/>
          <w:sz w:val="20"/>
        </w:rPr>
        <w:t>The contents of this General Mandate were approved by the General Meeting of Shareholders at the Annual General Meeting of Shareholders 2024 on June 24, 2024.</w:t>
      </w:r>
    </w:p>
    <w:p w14:paraId="048A2B07" w14:textId="310BAC34" w:rsidR="00A125B9" w:rsidRPr="002D560F" w:rsidRDefault="0005080F" w:rsidP="001D631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2D560F">
        <w:rPr>
          <w:rFonts w:ascii="Arial" w:hAnsi="Arial" w:cs="Arial"/>
          <w:color w:val="010000"/>
          <w:sz w:val="20"/>
        </w:rPr>
        <w:t xml:space="preserve">Members of the Board of Directors, the General Manager, the </w:t>
      </w:r>
      <w:r w:rsidR="00F469C3" w:rsidRPr="002D560F">
        <w:rPr>
          <w:rFonts w:ascii="Arial" w:hAnsi="Arial" w:cs="Arial"/>
          <w:color w:val="010000"/>
          <w:sz w:val="20"/>
          <w:lang w:val="vi-VN"/>
        </w:rPr>
        <w:t xml:space="preserve">Deputy </w:t>
      </w:r>
      <w:r w:rsidRPr="002D560F">
        <w:rPr>
          <w:rFonts w:ascii="Arial" w:hAnsi="Arial" w:cs="Arial"/>
          <w:color w:val="010000"/>
          <w:sz w:val="20"/>
        </w:rPr>
        <w:t>General Manager and relevant departments of the Company are responsible for implementing this General Mandate.</w:t>
      </w:r>
    </w:p>
    <w:sectPr w:rsidR="00A125B9" w:rsidRPr="002D560F" w:rsidSect="001D631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72B7" w14:textId="77777777" w:rsidR="00547141" w:rsidRDefault="00547141" w:rsidP="00FF6CE2">
      <w:r>
        <w:separator/>
      </w:r>
    </w:p>
  </w:endnote>
  <w:endnote w:type="continuationSeparator" w:id="0">
    <w:p w14:paraId="2A7A3B1C" w14:textId="77777777" w:rsidR="00547141" w:rsidRDefault="00547141" w:rsidP="00F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A7208" w14:textId="77777777" w:rsidR="00547141" w:rsidRDefault="00547141" w:rsidP="00FF6CE2">
      <w:r>
        <w:separator/>
      </w:r>
    </w:p>
  </w:footnote>
  <w:footnote w:type="continuationSeparator" w:id="0">
    <w:p w14:paraId="6D7AAF63" w14:textId="77777777" w:rsidR="00547141" w:rsidRDefault="00547141" w:rsidP="00FF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F51"/>
    <w:multiLevelType w:val="multilevel"/>
    <w:tmpl w:val="B090335E"/>
    <w:lvl w:ilvl="0">
      <w:start w:val="1"/>
      <w:numFmt w:val="bullet"/>
      <w:lvlText w:val="+"/>
      <w:lvlJc w:val="left"/>
      <w:pPr>
        <w:ind w:left="0" w:firstLine="0"/>
      </w:pPr>
      <w:rPr>
        <w:rFonts w:asciiTheme="minorHAnsi" w:eastAsia="Noto Sans Symbols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8577D6"/>
    <w:multiLevelType w:val="multilevel"/>
    <w:tmpl w:val="522852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CF0F96"/>
    <w:multiLevelType w:val="multilevel"/>
    <w:tmpl w:val="4D7029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715454"/>
    <w:multiLevelType w:val="multilevel"/>
    <w:tmpl w:val="B594A0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9"/>
    <w:rsid w:val="0005080F"/>
    <w:rsid w:val="001545EB"/>
    <w:rsid w:val="00191F12"/>
    <w:rsid w:val="001D6316"/>
    <w:rsid w:val="00290282"/>
    <w:rsid w:val="002D560F"/>
    <w:rsid w:val="00315C96"/>
    <w:rsid w:val="00547141"/>
    <w:rsid w:val="005F372D"/>
    <w:rsid w:val="006E4958"/>
    <w:rsid w:val="00923FFD"/>
    <w:rsid w:val="00955D88"/>
    <w:rsid w:val="00A125B9"/>
    <w:rsid w:val="00A80776"/>
    <w:rsid w:val="00AB6DE4"/>
    <w:rsid w:val="00AD73DC"/>
    <w:rsid w:val="00B41575"/>
    <w:rsid w:val="00C1169E"/>
    <w:rsid w:val="00C25E20"/>
    <w:rsid w:val="00C956C7"/>
    <w:rsid w:val="00D26408"/>
    <w:rsid w:val="00F469C3"/>
    <w:rsid w:val="00F7639A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A1FDF"/>
  <w15:docId w15:val="{B9799554-2E0A-4B25-96BC-08DC101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spacing w:line="271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40">
    <w:name w:val="Văn bản nội dung (4)"/>
    <w:basedOn w:val="Normal"/>
    <w:link w:val="Vnbnnidung4"/>
    <w:pPr>
      <w:spacing w:line="180" w:lineRule="auto"/>
      <w:ind w:firstLine="820"/>
    </w:pPr>
    <w:rPr>
      <w:rFonts w:ascii="Arial" w:eastAsia="Arial" w:hAnsi="Arial" w:cs="Arial"/>
      <w:sz w:val="13"/>
      <w:szCs w:val="13"/>
    </w:rPr>
  </w:style>
  <w:style w:type="paragraph" w:customStyle="1" w:styleId="Chthchbng0">
    <w:name w:val="Chú thích bảng"/>
    <w:basedOn w:val="Normal"/>
    <w:link w:val="Chthchbng"/>
    <w:pPr>
      <w:spacing w:line="274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iu10">
    <w:name w:val="Tiêu đề #1"/>
    <w:basedOn w:val="Normal"/>
    <w:link w:val="Tiu1"/>
    <w:pPr>
      <w:spacing w:line="314" w:lineRule="auto"/>
      <w:ind w:left="400" w:hanging="2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30">
    <w:name w:val="Văn bản nội dung (3)"/>
    <w:basedOn w:val="Normal"/>
    <w:link w:val="Vnbnnidung3"/>
    <w:pPr>
      <w:spacing w:line="310" w:lineRule="auto"/>
      <w:ind w:left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table" w:styleId="TableGrid">
    <w:name w:val="Table Grid"/>
    <w:basedOn w:val="TableNormal"/>
    <w:uiPriority w:val="39"/>
    <w:rsid w:val="0008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E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8GkaHtukOX4krMXrnpx/FZq2ig==">CgMxLjAyCGguZ2pkZ3hzOAByITFBdGR4T2k1bHhGUFBRYlFNNVBrYlBzWWZvcWtrREtDag==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2024-06-28T03:07:00Z</dcterms:created>
  <dcterms:modified xsi:type="dcterms:W3CDTF">2024-06-28T03:07:00Z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e77f914a335001ea2b6a61ed6afd6d2eb5291ae97e4944b90bee311b00b6374c</vt:lpwstr>
  </property>
</Properties>
</file>