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0805"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C372CA">
        <w:rPr>
          <w:rFonts w:ascii="Arial" w:hAnsi="Arial" w:cs="Arial"/>
          <w:b/>
          <w:color w:val="010000"/>
          <w:sz w:val="20"/>
        </w:rPr>
        <w:t>VEA: Annual General Mandate 2024</w:t>
      </w:r>
    </w:p>
    <w:p w14:paraId="250E73CC" w14:textId="5D89558C"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On June 20, 2024, Vietnam Engine and Agricultural Machinery Corporation announced General Mandate </w:t>
      </w:r>
      <w:r w:rsidR="0046280F" w:rsidRPr="00C372CA">
        <w:rPr>
          <w:rFonts w:ascii="Arial" w:hAnsi="Arial" w:cs="Arial"/>
          <w:color w:val="010000"/>
          <w:sz w:val="20"/>
        </w:rPr>
        <w:t xml:space="preserve">No. </w:t>
      </w:r>
      <w:r w:rsidRPr="00C372CA">
        <w:rPr>
          <w:rFonts w:ascii="Arial" w:hAnsi="Arial" w:cs="Arial"/>
          <w:color w:val="010000"/>
          <w:sz w:val="20"/>
        </w:rPr>
        <w:t>01/NQ-DHDCD as follows:</w:t>
      </w:r>
    </w:p>
    <w:p w14:paraId="367D13A1"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‎‎Article 1. Approve the contents as follows:</w:t>
      </w:r>
    </w:p>
    <w:p w14:paraId="7766DC01" w14:textId="24D4D238" w:rsidR="00480C7C" w:rsidRPr="00C372CA" w:rsidRDefault="00F03D1B" w:rsidP="000339D3">
      <w:pPr>
        <w:numPr>
          <w:ilvl w:val="0"/>
          <w:numId w:val="6"/>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Approve the Report on activities of the Board of Directors in 2023, and the plan for 2024 </w:t>
      </w:r>
    </w:p>
    <w:p w14:paraId="40130E5F" w14:textId="77AABF42" w:rsidR="00480C7C" w:rsidRPr="00C372CA" w:rsidRDefault="00F03D1B" w:rsidP="000339D3">
      <w:pPr>
        <w:numPr>
          <w:ilvl w:val="0"/>
          <w:numId w:val="6"/>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Approve the Report on the production and business results in 2023, and the plan for 2024 </w:t>
      </w:r>
    </w:p>
    <w:p w14:paraId="361B1DAA" w14:textId="583010B2" w:rsidR="00480C7C" w:rsidRPr="00C372CA" w:rsidRDefault="00F03D1B" w:rsidP="000339D3">
      <w:pPr>
        <w:numPr>
          <w:ilvl w:val="0"/>
          <w:numId w:val="6"/>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Approve the Report on activities of the Supervisory Board in 2023, and the Plan for 2024 </w:t>
      </w:r>
    </w:p>
    <w:p w14:paraId="494DE3B7" w14:textId="46FD4F63" w:rsidR="00480C7C" w:rsidRPr="00C372CA" w:rsidRDefault="00F03D1B" w:rsidP="000339D3">
      <w:pPr>
        <w:numPr>
          <w:ilvl w:val="0"/>
          <w:numId w:val="6"/>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Approve the Audited Financial Statements 2023 </w:t>
      </w:r>
    </w:p>
    <w:p w14:paraId="4C25BEF8" w14:textId="32C51208" w:rsidR="00480C7C" w:rsidRPr="00C372CA" w:rsidRDefault="00F03D1B" w:rsidP="000339D3">
      <w:pPr>
        <w:numPr>
          <w:ilvl w:val="0"/>
          <w:numId w:val="6"/>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Approve the plan on profit distribution in 2023 </w:t>
      </w:r>
    </w:p>
    <w:p w14:paraId="5F1C019D" w14:textId="77777777" w:rsidR="00480C7C" w:rsidRPr="00C372CA" w:rsidRDefault="00F03D1B" w:rsidP="000339D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372CA">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3958"/>
        <w:gridCol w:w="2178"/>
        <w:gridCol w:w="2184"/>
      </w:tblGrid>
      <w:tr w:rsidR="00480C7C" w:rsidRPr="00C372CA" w14:paraId="0CBA8887" w14:textId="77777777" w:rsidTr="000339D3">
        <w:tc>
          <w:tcPr>
            <w:tcW w:w="386" w:type="pct"/>
            <w:shd w:val="clear" w:color="auto" w:fill="auto"/>
            <w:tcMar>
              <w:top w:w="0" w:type="dxa"/>
              <w:bottom w:w="0" w:type="dxa"/>
            </w:tcMar>
            <w:vAlign w:val="center"/>
          </w:tcPr>
          <w:p w14:paraId="5076D5DA" w14:textId="25344D76" w:rsidR="00480C7C" w:rsidRPr="00C372CA" w:rsidRDefault="0046280F"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No. </w:t>
            </w:r>
          </w:p>
        </w:tc>
        <w:tc>
          <w:tcPr>
            <w:tcW w:w="2195" w:type="pct"/>
            <w:shd w:val="clear" w:color="auto" w:fill="auto"/>
            <w:tcMar>
              <w:top w:w="0" w:type="dxa"/>
              <w:bottom w:w="0" w:type="dxa"/>
            </w:tcMar>
            <w:vAlign w:val="center"/>
          </w:tcPr>
          <w:p w14:paraId="79F6E2A9"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Targets</w:t>
            </w:r>
          </w:p>
        </w:tc>
        <w:tc>
          <w:tcPr>
            <w:tcW w:w="1208" w:type="pct"/>
            <w:shd w:val="clear" w:color="auto" w:fill="auto"/>
            <w:tcMar>
              <w:top w:w="0" w:type="dxa"/>
              <w:bottom w:w="0" w:type="dxa"/>
            </w:tcMar>
            <w:vAlign w:val="center"/>
          </w:tcPr>
          <w:p w14:paraId="0F625EC4"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Plan</w:t>
            </w:r>
          </w:p>
        </w:tc>
        <w:tc>
          <w:tcPr>
            <w:tcW w:w="1211" w:type="pct"/>
            <w:shd w:val="clear" w:color="auto" w:fill="auto"/>
            <w:tcMar>
              <w:top w:w="0" w:type="dxa"/>
              <w:bottom w:w="0" w:type="dxa"/>
            </w:tcMar>
            <w:vAlign w:val="center"/>
          </w:tcPr>
          <w:p w14:paraId="4BDA31EF"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Results</w:t>
            </w:r>
          </w:p>
        </w:tc>
      </w:tr>
      <w:tr w:rsidR="00480C7C" w:rsidRPr="00C372CA" w14:paraId="13D7371F" w14:textId="77777777" w:rsidTr="000339D3">
        <w:tc>
          <w:tcPr>
            <w:tcW w:w="386" w:type="pct"/>
            <w:shd w:val="clear" w:color="auto" w:fill="auto"/>
            <w:tcMar>
              <w:top w:w="0" w:type="dxa"/>
              <w:bottom w:w="0" w:type="dxa"/>
            </w:tcMar>
            <w:vAlign w:val="center"/>
          </w:tcPr>
          <w:p w14:paraId="6B144954"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1</w:t>
            </w:r>
          </w:p>
        </w:tc>
        <w:tc>
          <w:tcPr>
            <w:tcW w:w="2195" w:type="pct"/>
            <w:shd w:val="clear" w:color="auto" w:fill="auto"/>
            <w:tcMar>
              <w:top w:w="0" w:type="dxa"/>
              <w:bottom w:w="0" w:type="dxa"/>
            </w:tcMar>
            <w:vAlign w:val="center"/>
          </w:tcPr>
          <w:p w14:paraId="044E14C1"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Profit after tax</w:t>
            </w:r>
          </w:p>
        </w:tc>
        <w:tc>
          <w:tcPr>
            <w:tcW w:w="1208" w:type="pct"/>
            <w:shd w:val="clear" w:color="auto" w:fill="auto"/>
            <w:tcMar>
              <w:top w:w="0" w:type="dxa"/>
              <w:bottom w:w="0" w:type="dxa"/>
            </w:tcMar>
            <w:vAlign w:val="center"/>
          </w:tcPr>
          <w:p w14:paraId="427EDFB1"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5,694,000,000,000</w:t>
            </w:r>
          </w:p>
        </w:tc>
        <w:tc>
          <w:tcPr>
            <w:tcW w:w="1211" w:type="pct"/>
            <w:shd w:val="clear" w:color="auto" w:fill="auto"/>
            <w:tcMar>
              <w:top w:w="0" w:type="dxa"/>
              <w:bottom w:w="0" w:type="dxa"/>
            </w:tcMar>
            <w:vAlign w:val="center"/>
          </w:tcPr>
          <w:p w14:paraId="18587041"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6,760,833,309,328</w:t>
            </w:r>
          </w:p>
        </w:tc>
      </w:tr>
      <w:tr w:rsidR="00480C7C" w:rsidRPr="00C372CA" w14:paraId="31E551DE" w14:textId="77777777" w:rsidTr="000339D3">
        <w:tc>
          <w:tcPr>
            <w:tcW w:w="386" w:type="pct"/>
            <w:shd w:val="clear" w:color="auto" w:fill="auto"/>
            <w:tcMar>
              <w:top w:w="0" w:type="dxa"/>
              <w:bottom w:w="0" w:type="dxa"/>
            </w:tcMar>
            <w:vAlign w:val="center"/>
          </w:tcPr>
          <w:p w14:paraId="426A5B01"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2</w:t>
            </w:r>
          </w:p>
        </w:tc>
        <w:tc>
          <w:tcPr>
            <w:tcW w:w="2195" w:type="pct"/>
            <w:shd w:val="clear" w:color="auto" w:fill="auto"/>
            <w:tcMar>
              <w:top w:w="0" w:type="dxa"/>
              <w:bottom w:w="0" w:type="dxa"/>
            </w:tcMar>
            <w:vAlign w:val="center"/>
          </w:tcPr>
          <w:p w14:paraId="05321ECB" w14:textId="7A41EC8C"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Profit /share</w:t>
            </w:r>
          </w:p>
        </w:tc>
        <w:tc>
          <w:tcPr>
            <w:tcW w:w="1208" w:type="pct"/>
            <w:shd w:val="clear" w:color="auto" w:fill="auto"/>
            <w:tcMar>
              <w:top w:w="0" w:type="dxa"/>
              <w:bottom w:w="0" w:type="dxa"/>
            </w:tcMar>
            <w:vAlign w:val="center"/>
          </w:tcPr>
          <w:p w14:paraId="6ED3F4A9"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42.85%</w:t>
            </w:r>
          </w:p>
        </w:tc>
        <w:tc>
          <w:tcPr>
            <w:tcW w:w="1211" w:type="pct"/>
            <w:shd w:val="clear" w:color="auto" w:fill="auto"/>
            <w:tcMar>
              <w:top w:w="0" w:type="dxa"/>
              <w:bottom w:w="0" w:type="dxa"/>
            </w:tcMar>
            <w:vAlign w:val="center"/>
          </w:tcPr>
          <w:p w14:paraId="545DE9F5"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50.88%</w:t>
            </w:r>
          </w:p>
        </w:tc>
      </w:tr>
      <w:tr w:rsidR="00480C7C" w:rsidRPr="00C372CA" w14:paraId="184F2CFC" w14:textId="77777777" w:rsidTr="000339D3">
        <w:tc>
          <w:tcPr>
            <w:tcW w:w="386" w:type="pct"/>
            <w:shd w:val="clear" w:color="auto" w:fill="auto"/>
            <w:tcMar>
              <w:top w:w="0" w:type="dxa"/>
              <w:bottom w:w="0" w:type="dxa"/>
            </w:tcMar>
            <w:vAlign w:val="center"/>
          </w:tcPr>
          <w:p w14:paraId="458280C6"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3</w:t>
            </w:r>
          </w:p>
        </w:tc>
        <w:tc>
          <w:tcPr>
            <w:tcW w:w="2195" w:type="pct"/>
            <w:shd w:val="clear" w:color="auto" w:fill="auto"/>
            <w:tcMar>
              <w:top w:w="0" w:type="dxa"/>
              <w:bottom w:w="0" w:type="dxa"/>
            </w:tcMar>
            <w:vAlign w:val="center"/>
          </w:tcPr>
          <w:p w14:paraId="3A92FE94"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Distributed profit</w:t>
            </w:r>
          </w:p>
        </w:tc>
        <w:tc>
          <w:tcPr>
            <w:tcW w:w="1208" w:type="pct"/>
            <w:shd w:val="clear" w:color="auto" w:fill="auto"/>
            <w:tcMar>
              <w:top w:w="0" w:type="dxa"/>
              <w:bottom w:w="0" w:type="dxa"/>
            </w:tcMar>
            <w:vAlign w:val="center"/>
          </w:tcPr>
          <w:p w14:paraId="343D34A8" w14:textId="77777777" w:rsidR="00480C7C" w:rsidRPr="00C372CA" w:rsidRDefault="00480C7C" w:rsidP="000339D3">
            <w:pPr>
              <w:tabs>
                <w:tab w:val="left" w:pos="432"/>
              </w:tabs>
              <w:spacing w:after="120" w:line="360" w:lineRule="auto"/>
              <w:rPr>
                <w:rFonts w:ascii="Arial" w:eastAsia="Arial" w:hAnsi="Arial" w:cs="Arial"/>
                <w:color w:val="010000"/>
                <w:sz w:val="20"/>
                <w:szCs w:val="20"/>
              </w:rPr>
            </w:pPr>
          </w:p>
        </w:tc>
        <w:tc>
          <w:tcPr>
            <w:tcW w:w="1211" w:type="pct"/>
            <w:shd w:val="clear" w:color="auto" w:fill="auto"/>
            <w:tcMar>
              <w:top w:w="0" w:type="dxa"/>
              <w:bottom w:w="0" w:type="dxa"/>
            </w:tcMar>
            <w:vAlign w:val="center"/>
          </w:tcPr>
          <w:p w14:paraId="2B19D00C"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6,760,824,940,326</w:t>
            </w:r>
          </w:p>
        </w:tc>
      </w:tr>
      <w:tr w:rsidR="00480C7C" w:rsidRPr="00C372CA" w14:paraId="0B0670BB" w14:textId="77777777" w:rsidTr="000339D3">
        <w:tc>
          <w:tcPr>
            <w:tcW w:w="386" w:type="pct"/>
            <w:shd w:val="clear" w:color="auto" w:fill="auto"/>
            <w:tcMar>
              <w:top w:w="0" w:type="dxa"/>
              <w:bottom w:w="0" w:type="dxa"/>
            </w:tcMar>
            <w:vAlign w:val="center"/>
          </w:tcPr>
          <w:p w14:paraId="307D841C" w14:textId="77777777" w:rsidR="00480C7C" w:rsidRPr="00C372CA" w:rsidRDefault="00480C7C" w:rsidP="000339D3">
            <w:pPr>
              <w:tabs>
                <w:tab w:val="left" w:pos="432"/>
              </w:tabs>
              <w:spacing w:after="120" w:line="360" w:lineRule="auto"/>
              <w:rPr>
                <w:rFonts w:ascii="Arial" w:eastAsia="Arial" w:hAnsi="Arial" w:cs="Arial"/>
                <w:color w:val="010000"/>
                <w:sz w:val="20"/>
                <w:szCs w:val="20"/>
              </w:rPr>
            </w:pPr>
          </w:p>
        </w:tc>
        <w:tc>
          <w:tcPr>
            <w:tcW w:w="2195" w:type="pct"/>
            <w:shd w:val="clear" w:color="auto" w:fill="auto"/>
            <w:tcMar>
              <w:top w:w="0" w:type="dxa"/>
              <w:bottom w:w="0" w:type="dxa"/>
            </w:tcMar>
            <w:vAlign w:val="center"/>
          </w:tcPr>
          <w:p w14:paraId="5A41E15D"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 Bonus fund for Employees, Welfare fund</w:t>
            </w:r>
          </w:p>
        </w:tc>
        <w:tc>
          <w:tcPr>
            <w:tcW w:w="1208" w:type="pct"/>
            <w:shd w:val="clear" w:color="auto" w:fill="auto"/>
            <w:tcMar>
              <w:top w:w="0" w:type="dxa"/>
              <w:bottom w:w="0" w:type="dxa"/>
            </w:tcMar>
            <w:vAlign w:val="center"/>
          </w:tcPr>
          <w:p w14:paraId="2C6F99A8" w14:textId="77777777" w:rsidR="00480C7C" w:rsidRPr="00C372CA" w:rsidRDefault="00480C7C" w:rsidP="000339D3">
            <w:pPr>
              <w:tabs>
                <w:tab w:val="left" w:pos="432"/>
              </w:tabs>
              <w:spacing w:after="120" w:line="360" w:lineRule="auto"/>
              <w:rPr>
                <w:rFonts w:ascii="Arial" w:eastAsia="Arial" w:hAnsi="Arial" w:cs="Arial"/>
                <w:color w:val="010000"/>
                <w:sz w:val="20"/>
                <w:szCs w:val="20"/>
              </w:rPr>
            </w:pPr>
          </w:p>
        </w:tc>
        <w:tc>
          <w:tcPr>
            <w:tcW w:w="1211" w:type="pct"/>
            <w:shd w:val="clear" w:color="auto" w:fill="auto"/>
            <w:tcMar>
              <w:top w:w="0" w:type="dxa"/>
              <w:bottom w:w="0" w:type="dxa"/>
            </w:tcMar>
            <w:vAlign w:val="center"/>
          </w:tcPr>
          <w:p w14:paraId="506698F3"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68,611,822,040</w:t>
            </w:r>
          </w:p>
        </w:tc>
      </w:tr>
      <w:tr w:rsidR="00480C7C" w:rsidRPr="00C372CA" w14:paraId="532F2B00" w14:textId="77777777" w:rsidTr="000339D3">
        <w:tc>
          <w:tcPr>
            <w:tcW w:w="386" w:type="pct"/>
            <w:shd w:val="clear" w:color="auto" w:fill="auto"/>
            <w:tcMar>
              <w:top w:w="0" w:type="dxa"/>
              <w:bottom w:w="0" w:type="dxa"/>
            </w:tcMar>
            <w:vAlign w:val="center"/>
          </w:tcPr>
          <w:p w14:paraId="111F703B" w14:textId="77777777" w:rsidR="00480C7C" w:rsidRPr="00C372CA" w:rsidRDefault="00480C7C" w:rsidP="000339D3">
            <w:pPr>
              <w:tabs>
                <w:tab w:val="left" w:pos="432"/>
              </w:tabs>
              <w:spacing w:after="120" w:line="360" w:lineRule="auto"/>
              <w:rPr>
                <w:rFonts w:ascii="Arial" w:eastAsia="Arial" w:hAnsi="Arial" w:cs="Arial"/>
                <w:color w:val="010000"/>
                <w:sz w:val="20"/>
                <w:szCs w:val="20"/>
              </w:rPr>
            </w:pPr>
          </w:p>
        </w:tc>
        <w:tc>
          <w:tcPr>
            <w:tcW w:w="2195" w:type="pct"/>
            <w:shd w:val="clear" w:color="auto" w:fill="auto"/>
            <w:tcMar>
              <w:top w:w="0" w:type="dxa"/>
              <w:bottom w:w="0" w:type="dxa"/>
            </w:tcMar>
            <w:vAlign w:val="center"/>
          </w:tcPr>
          <w:p w14:paraId="7E21470B"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 Bonus fund for managers, the Chief of the Supervisory Board, and the Members of the Supervisory Board</w:t>
            </w:r>
          </w:p>
        </w:tc>
        <w:tc>
          <w:tcPr>
            <w:tcW w:w="1208" w:type="pct"/>
            <w:shd w:val="clear" w:color="auto" w:fill="auto"/>
            <w:tcMar>
              <w:top w:w="0" w:type="dxa"/>
              <w:bottom w:w="0" w:type="dxa"/>
            </w:tcMar>
            <w:vAlign w:val="center"/>
          </w:tcPr>
          <w:p w14:paraId="5DAF795D" w14:textId="77777777" w:rsidR="00480C7C" w:rsidRPr="00C372CA" w:rsidRDefault="00480C7C" w:rsidP="000339D3">
            <w:pPr>
              <w:tabs>
                <w:tab w:val="left" w:pos="432"/>
              </w:tabs>
              <w:spacing w:after="120" w:line="360" w:lineRule="auto"/>
              <w:rPr>
                <w:rFonts w:ascii="Arial" w:eastAsia="Arial" w:hAnsi="Arial" w:cs="Arial"/>
                <w:color w:val="010000"/>
                <w:sz w:val="20"/>
                <w:szCs w:val="20"/>
              </w:rPr>
            </w:pPr>
          </w:p>
        </w:tc>
        <w:tc>
          <w:tcPr>
            <w:tcW w:w="1211" w:type="pct"/>
            <w:shd w:val="clear" w:color="auto" w:fill="auto"/>
            <w:tcMar>
              <w:top w:w="0" w:type="dxa"/>
              <w:bottom w:w="0" w:type="dxa"/>
            </w:tcMar>
            <w:vAlign w:val="center"/>
          </w:tcPr>
          <w:p w14:paraId="2FCFD51B"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1,465,934,286</w:t>
            </w:r>
          </w:p>
        </w:tc>
      </w:tr>
      <w:tr w:rsidR="00480C7C" w:rsidRPr="00C372CA" w14:paraId="676FD435" w14:textId="77777777" w:rsidTr="000339D3">
        <w:tc>
          <w:tcPr>
            <w:tcW w:w="386" w:type="pct"/>
            <w:shd w:val="clear" w:color="auto" w:fill="auto"/>
            <w:tcMar>
              <w:top w:w="0" w:type="dxa"/>
              <w:bottom w:w="0" w:type="dxa"/>
            </w:tcMar>
            <w:vAlign w:val="center"/>
          </w:tcPr>
          <w:p w14:paraId="53916FB2" w14:textId="77777777" w:rsidR="00480C7C" w:rsidRPr="00C372CA" w:rsidRDefault="00480C7C" w:rsidP="000339D3">
            <w:pPr>
              <w:tabs>
                <w:tab w:val="left" w:pos="432"/>
              </w:tabs>
              <w:spacing w:after="120" w:line="360" w:lineRule="auto"/>
              <w:rPr>
                <w:rFonts w:ascii="Arial" w:eastAsia="Arial" w:hAnsi="Arial" w:cs="Arial"/>
                <w:color w:val="010000"/>
                <w:sz w:val="20"/>
                <w:szCs w:val="20"/>
              </w:rPr>
            </w:pPr>
          </w:p>
        </w:tc>
        <w:tc>
          <w:tcPr>
            <w:tcW w:w="2195" w:type="pct"/>
            <w:shd w:val="clear" w:color="auto" w:fill="auto"/>
            <w:tcMar>
              <w:top w:w="0" w:type="dxa"/>
              <w:bottom w:w="0" w:type="dxa"/>
            </w:tcMar>
            <w:vAlign w:val="center"/>
          </w:tcPr>
          <w:p w14:paraId="0D76F18F"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 Dividend payment (*)</w:t>
            </w:r>
          </w:p>
        </w:tc>
        <w:tc>
          <w:tcPr>
            <w:tcW w:w="1208" w:type="pct"/>
            <w:shd w:val="clear" w:color="auto" w:fill="auto"/>
            <w:tcMar>
              <w:top w:w="0" w:type="dxa"/>
              <w:bottom w:w="0" w:type="dxa"/>
            </w:tcMar>
            <w:vAlign w:val="center"/>
          </w:tcPr>
          <w:p w14:paraId="271DB206" w14:textId="77777777" w:rsidR="00480C7C" w:rsidRPr="00C372CA" w:rsidRDefault="00480C7C" w:rsidP="000339D3">
            <w:pPr>
              <w:tabs>
                <w:tab w:val="left" w:pos="432"/>
              </w:tabs>
              <w:spacing w:after="120" w:line="360" w:lineRule="auto"/>
              <w:rPr>
                <w:rFonts w:ascii="Arial" w:eastAsia="Arial" w:hAnsi="Arial" w:cs="Arial"/>
                <w:color w:val="010000"/>
                <w:sz w:val="20"/>
                <w:szCs w:val="20"/>
              </w:rPr>
            </w:pPr>
          </w:p>
        </w:tc>
        <w:tc>
          <w:tcPr>
            <w:tcW w:w="1211" w:type="pct"/>
            <w:shd w:val="clear" w:color="auto" w:fill="auto"/>
            <w:tcMar>
              <w:top w:w="0" w:type="dxa"/>
              <w:bottom w:w="0" w:type="dxa"/>
            </w:tcMar>
            <w:vAlign w:val="center"/>
          </w:tcPr>
          <w:p w14:paraId="39435710"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6,690,747,184,000</w:t>
            </w:r>
          </w:p>
        </w:tc>
      </w:tr>
      <w:tr w:rsidR="00480C7C" w:rsidRPr="00C372CA" w14:paraId="76A94B65" w14:textId="77777777" w:rsidTr="000339D3">
        <w:tc>
          <w:tcPr>
            <w:tcW w:w="386" w:type="pct"/>
            <w:shd w:val="clear" w:color="auto" w:fill="auto"/>
            <w:tcMar>
              <w:top w:w="0" w:type="dxa"/>
              <w:bottom w:w="0" w:type="dxa"/>
            </w:tcMar>
            <w:vAlign w:val="center"/>
          </w:tcPr>
          <w:p w14:paraId="482CD576" w14:textId="77777777" w:rsidR="00480C7C" w:rsidRPr="00C372CA" w:rsidRDefault="00480C7C" w:rsidP="000339D3">
            <w:pPr>
              <w:tabs>
                <w:tab w:val="left" w:pos="432"/>
              </w:tabs>
              <w:spacing w:after="120" w:line="360" w:lineRule="auto"/>
              <w:rPr>
                <w:rFonts w:ascii="Arial" w:eastAsia="Arial" w:hAnsi="Arial" w:cs="Arial"/>
                <w:color w:val="010000"/>
                <w:sz w:val="20"/>
                <w:szCs w:val="20"/>
              </w:rPr>
            </w:pPr>
          </w:p>
        </w:tc>
        <w:tc>
          <w:tcPr>
            <w:tcW w:w="2195" w:type="pct"/>
            <w:shd w:val="clear" w:color="auto" w:fill="auto"/>
            <w:tcMar>
              <w:top w:w="0" w:type="dxa"/>
              <w:bottom w:w="0" w:type="dxa"/>
            </w:tcMar>
            <w:vAlign w:val="center"/>
          </w:tcPr>
          <w:p w14:paraId="7B05F265"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 Dividend per share</w:t>
            </w:r>
          </w:p>
        </w:tc>
        <w:tc>
          <w:tcPr>
            <w:tcW w:w="1208" w:type="pct"/>
            <w:shd w:val="clear" w:color="auto" w:fill="auto"/>
            <w:tcMar>
              <w:top w:w="0" w:type="dxa"/>
              <w:bottom w:w="0" w:type="dxa"/>
            </w:tcMar>
            <w:vAlign w:val="center"/>
          </w:tcPr>
          <w:p w14:paraId="2E31076D" w14:textId="77777777" w:rsidR="00480C7C" w:rsidRPr="00C372CA" w:rsidRDefault="00480C7C" w:rsidP="000339D3">
            <w:pPr>
              <w:tabs>
                <w:tab w:val="left" w:pos="432"/>
              </w:tabs>
              <w:spacing w:after="120" w:line="360" w:lineRule="auto"/>
              <w:rPr>
                <w:rFonts w:ascii="Arial" w:eastAsia="Arial" w:hAnsi="Arial" w:cs="Arial"/>
                <w:color w:val="010000"/>
                <w:sz w:val="20"/>
                <w:szCs w:val="20"/>
              </w:rPr>
            </w:pPr>
          </w:p>
        </w:tc>
        <w:tc>
          <w:tcPr>
            <w:tcW w:w="1211" w:type="pct"/>
            <w:shd w:val="clear" w:color="auto" w:fill="auto"/>
            <w:tcMar>
              <w:top w:w="0" w:type="dxa"/>
              <w:bottom w:w="0" w:type="dxa"/>
            </w:tcMar>
            <w:vAlign w:val="center"/>
          </w:tcPr>
          <w:p w14:paraId="29F6A875"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5,035.18</w:t>
            </w:r>
          </w:p>
        </w:tc>
      </w:tr>
      <w:tr w:rsidR="00480C7C" w:rsidRPr="00C372CA" w14:paraId="786E6863" w14:textId="77777777" w:rsidTr="000339D3">
        <w:tc>
          <w:tcPr>
            <w:tcW w:w="386" w:type="pct"/>
            <w:shd w:val="clear" w:color="auto" w:fill="auto"/>
            <w:tcMar>
              <w:top w:w="0" w:type="dxa"/>
              <w:bottom w:w="0" w:type="dxa"/>
            </w:tcMar>
            <w:vAlign w:val="center"/>
          </w:tcPr>
          <w:p w14:paraId="57BE590D"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4</w:t>
            </w:r>
          </w:p>
        </w:tc>
        <w:tc>
          <w:tcPr>
            <w:tcW w:w="2195" w:type="pct"/>
            <w:shd w:val="clear" w:color="auto" w:fill="auto"/>
            <w:tcMar>
              <w:top w:w="0" w:type="dxa"/>
              <w:bottom w:w="0" w:type="dxa"/>
            </w:tcMar>
            <w:vAlign w:val="center"/>
          </w:tcPr>
          <w:p w14:paraId="3C6B2F33"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Remaining undistributed profit (fractional number after distribution)</w:t>
            </w:r>
          </w:p>
        </w:tc>
        <w:tc>
          <w:tcPr>
            <w:tcW w:w="1208" w:type="pct"/>
            <w:shd w:val="clear" w:color="auto" w:fill="auto"/>
            <w:tcMar>
              <w:top w:w="0" w:type="dxa"/>
              <w:bottom w:w="0" w:type="dxa"/>
            </w:tcMar>
            <w:vAlign w:val="center"/>
          </w:tcPr>
          <w:p w14:paraId="76FE8B72" w14:textId="77777777" w:rsidR="00480C7C" w:rsidRPr="00C372CA" w:rsidRDefault="00480C7C" w:rsidP="000339D3">
            <w:pPr>
              <w:tabs>
                <w:tab w:val="left" w:pos="432"/>
              </w:tabs>
              <w:spacing w:after="120" w:line="360" w:lineRule="auto"/>
              <w:rPr>
                <w:rFonts w:ascii="Arial" w:eastAsia="Arial" w:hAnsi="Arial" w:cs="Arial"/>
                <w:color w:val="010000"/>
                <w:sz w:val="20"/>
                <w:szCs w:val="20"/>
              </w:rPr>
            </w:pPr>
          </w:p>
        </w:tc>
        <w:tc>
          <w:tcPr>
            <w:tcW w:w="1211" w:type="pct"/>
            <w:shd w:val="clear" w:color="auto" w:fill="auto"/>
            <w:tcMar>
              <w:top w:w="0" w:type="dxa"/>
              <w:bottom w:w="0" w:type="dxa"/>
            </w:tcMar>
            <w:vAlign w:val="center"/>
          </w:tcPr>
          <w:p w14:paraId="1E387F0A"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8,369,002</w:t>
            </w:r>
          </w:p>
        </w:tc>
      </w:tr>
    </w:tbl>
    <w:p w14:paraId="3EA7A24A" w14:textId="6EB65948" w:rsidR="00480C7C" w:rsidRPr="00C372CA" w:rsidRDefault="00F03D1B" w:rsidP="000339D3">
      <w:pPr>
        <w:numPr>
          <w:ilvl w:val="0"/>
          <w:numId w:val="6"/>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Approve the amendments and supplements to Vietnam Engine and Agricultural Machinery Corporation</w:t>
      </w:r>
      <w:r w:rsidR="00140462" w:rsidRPr="00C372CA">
        <w:rPr>
          <w:rFonts w:ascii="Arial" w:hAnsi="Arial" w:cs="Arial"/>
          <w:color w:val="010000"/>
          <w:sz w:val="20"/>
        </w:rPr>
        <w:t>'s Charter</w:t>
      </w:r>
    </w:p>
    <w:p w14:paraId="4009C255" w14:textId="45E7A31A" w:rsidR="00480C7C" w:rsidRPr="00C372CA" w:rsidRDefault="00F03D1B" w:rsidP="000339D3">
      <w:pPr>
        <w:numPr>
          <w:ilvl w:val="0"/>
          <w:numId w:val="6"/>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Approve the </w:t>
      </w:r>
      <w:r w:rsidR="00C372CA" w:rsidRPr="00C372CA">
        <w:rPr>
          <w:rFonts w:ascii="Arial" w:hAnsi="Arial" w:cs="Arial"/>
          <w:color w:val="010000"/>
          <w:sz w:val="20"/>
        </w:rPr>
        <w:t>removal</w:t>
      </w:r>
      <w:r w:rsidRPr="00C372CA">
        <w:rPr>
          <w:rFonts w:ascii="Arial" w:hAnsi="Arial" w:cs="Arial"/>
          <w:color w:val="010000"/>
          <w:sz w:val="20"/>
        </w:rPr>
        <w:t xml:space="preserve"> of members of the Board of Directors </w:t>
      </w:r>
    </w:p>
    <w:p w14:paraId="5170FB5D" w14:textId="67C60250" w:rsidR="00480C7C" w:rsidRPr="00C372CA" w:rsidRDefault="00F03D1B" w:rsidP="000339D3">
      <w:pPr>
        <w:numPr>
          <w:ilvl w:val="0"/>
          <w:numId w:val="6"/>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Approve the dismissal of members of the Board of Directors </w:t>
      </w:r>
    </w:p>
    <w:p w14:paraId="7667F95F" w14:textId="1E90E8F8" w:rsidR="00480C7C" w:rsidRPr="00C372CA" w:rsidRDefault="00F03D1B" w:rsidP="000339D3">
      <w:pPr>
        <w:numPr>
          <w:ilvl w:val="0"/>
          <w:numId w:val="6"/>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Approve the election of additional members for the Board of Directors for the term of 2022-2027 pursuant to Proposal </w:t>
      </w:r>
      <w:r w:rsidR="0046280F" w:rsidRPr="00C372CA">
        <w:rPr>
          <w:rFonts w:ascii="Arial" w:hAnsi="Arial" w:cs="Arial"/>
          <w:color w:val="010000"/>
          <w:sz w:val="20"/>
        </w:rPr>
        <w:t xml:space="preserve">No. </w:t>
      </w:r>
      <w:r w:rsidRPr="00C372CA">
        <w:rPr>
          <w:rFonts w:ascii="Arial" w:hAnsi="Arial" w:cs="Arial"/>
          <w:color w:val="010000"/>
          <w:sz w:val="20"/>
        </w:rPr>
        <w:t>362/TTr-HDQT dated June 19, 2024 of the Board of Directors.</w:t>
      </w:r>
    </w:p>
    <w:p w14:paraId="0DD6A282"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‎‎Article 2. Approve the main targets of the production and business results in 2023 and the production and business plan for 2024:</w:t>
      </w:r>
    </w:p>
    <w:p w14:paraId="7E250567" w14:textId="77777777" w:rsidR="00480C7C" w:rsidRPr="00C372CA" w:rsidRDefault="00F03D1B" w:rsidP="000339D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372CA">
        <w:rPr>
          <w:rFonts w:ascii="Arial" w:hAnsi="Arial" w:cs="Arial"/>
          <w:color w:val="010000"/>
          <w:sz w:val="20"/>
        </w:rPr>
        <w:t>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05"/>
        <w:gridCol w:w="1693"/>
        <w:gridCol w:w="2149"/>
        <w:gridCol w:w="1769"/>
      </w:tblGrid>
      <w:tr w:rsidR="00480C7C" w:rsidRPr="00C372CA" w14:paraId="79ACBE0E" w14:textId="77777777" w:rsidTr="000339D3">
        <w:tc>
          <w:tcPr>
            <w:tcW w:w="1888" w:type="pct"/>
            <w:shd w:val="clear" w:color="auto" w:fill="auto"/>
            <w:tcMar>
              <w:top w:w="0" w:type="dxa"/>
              <w:bottom w:w="0" w:type="dxa"/>
            </w:tcMar>
            <w:vAlign w:val="center"/>
          </w:tcPr>
          <w:p w14:paraId="6D4D38C0"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lastRenderedPageBreak/>
              <w:t>Main targets</w:t>
            </w:r>
          </w:p>
        </w:tc>
        <w:tc>
          <w:tcPr>
            <w:tcW w:w="939" w:type="pct"/>
            <w:shd w:val="clear" w:color="auto" w:fill="auto"/>
            <w:tcMar>
              <w:top w:w="0" w:type="dxa"/>
              <w:bottom w:w="0" w:type="dxa"/>
            </w:tcMar>
            <w:vAlign w:val="center"/>
          </w:tcPr>
          <w:p w14:paraId="4687132A"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Results 2023</w:t>
            </w:r>
          </w:p>
        </w:tc>
        <w:tc>
          <w:tcPr>
            <w:tcW w:w="1192" w:type="pct"/>
            <w:shd w:val="clear" w:color="auto" w:fill="auto"/>
            <w:tcMar>
              <w:top w:w="0" w:type="dxa"/>
              <w:bottom w:w="0" w:type="dxa"/>
            </w:tcMar>
            <w:vAlign w:val="center"/>
          </w:tcPr>
          <w:p w14:paraId="46F6FE03"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Plan 2024</w:t>
            </w:r>
          </w:p>
        </w:tc>
        <w:tc>
          <w:tcPr>
            <w:tcW w:w="981" w:type="pct"/>
            <w:shd w:val="clear" w:color="auto" w:fill="auto"/>
            <w:tcMar>
              <w:top w:w="0" w:type="dxa"/>
              <w:bottom w:w="0" w:type="dxa"/>
            </w:tcMar>
            <w:vAlign w:val="center"/>
          </w:tcPr>
          <w:p w14:paraId="0C7B8512"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Comparison between 2024 and 2023</w:t>
            </w:r>
          </w:p>
        </w:tc>
      </w:tr>
      <w:tr w:rsidR="00480C7C" w:rsidRPr="00C372CA" w14:paraId="45362EAD" w14:textId="77777777" w:rsidTr="000339D3">
        <w:tc>
          <w:tcPr>
            <w:tcW w:w="1888" w:type="pct"/>
            <w:shd w:val="clear" w:color="auto" w:fill="auto"/>
            <w:tcMar>
              <w:top w:w="0" w:type="dxa"/>
              <w:bottom w:w="0" w:type="dxa"/>
            </w:tcMar>
            <w:vAlign w:val="center"/>
          </w:tcPr>
          <w:p w14:paraId="730419F7" w14:textId="736FAA68"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1. Revenue from</w:t>
            </w:r>
            <w:r w:rsidR="00C372CA" w:rsidRPr="00C372CA">
              <w:rPr>
                <w:rFonts w:ascii="Arial" w:hAnsi="Arial" w:cs="Arial"/>
                <w:color w:val="010000"/>
                <w:sz w:val="20"/>
              </w:rPr>
              <w:t xml:space="preserve"> goods sale</w:t>
            </w:r>
            <w:r w:rsidRPr="00C372CA">
              <w:rPr>
                <w:rFonts w:ascii="Arial" w:hAnsi="Arial" w:cs="Arial"/>
                <w:color w:val="010000"/>
                <w:sz w:val="20"/>
              </w:rPr>
              <w:t xml:space="preserve"> &amp; </w:t>
            </w:r>
            <w:r w:rsidR="00C372CA" w:rsidRPr="00C372CA">
              <w:rPr>
                <w:rFonts w:ascii="Arial" w:hAnsi="Arial" w:cs="Arial"/>
                <w:color w:val="010000"/>
                <w:sz w:val="20"/>
              </w:rPr>
              <w:t>s</w:t>
            </w:r>
            <w:r w:rsidRPr="00C372CA">
              <w:rPr>
                <w:rFonts w:ascii="Arial" w:hAnsi="Arial" w:cs="Arial"/>
                <w:color w:val="010000"/>
                <w:sz w:val="20"/>
              </w:rPr>
              <w:t>ervice provision</w:t>
            </w:r>
          </w:p>
        </w:tc>
        <w:tc>
          <w:tcPr>
            <w:tcW w:w="939" w:type="pct"/>
            <w:shd w:val="clear" w:color="auto" w:fill="auto"/>
            <w:tcMar>
              <w:top w:w="0" w:type="dxa"/>
              <w:bottom w:w="0" w:type="dxa"/>
            </w:tcMar>
            <w:vAlign w:val="center"/>
          </w:tcPr>
          <w:p w14:paraId="7F6514BC"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318.5</w:t>
            </w:r>
          </w:p>
        </w:tc>
        <w:tc>
          <w:tcPr>
            <w:tcW w:w="1192" w:type="pct"/>
            <w:shd w:val="clear" w:color="auto" w:fill="auto"/>
            <w:tcMar>
              <w:top w:w="0" w:type="dxa"/>
              <w:bottom w:w="0" w:type="dxa"/>
            </w:tcMar>
            <w:vAlign w:val="center"/>
          </w:tcPr>
          <w:p w14:paraId="63D961D0"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552.7</w:t>
            </w:r>
          </w:p>
        </w:tc>
        <w:tc>
          <w:tcPr>
            <w:tcW w:w="981" w:type="pct"/>
            <w:shd w:val="clear" w:color="auto" w:fill="auto"/>
            <w:tcMar>
              <w:top w:w="0" w:type="dxa"/>
              <w:bottom w:w="0" w:type="dxa"/>
            </w:tcMar>
            <w:vAlign w:val="center"/>
          </w:tcPr>
          <w:p w14:paraId="258A4999"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174%</w:t>
            </w:r>
          </w:p>
        </w:tc>
      </w:tr>
      <w:tr w:rsidR="00480C7C" w:rsidRPr="00C372CA" w14:paraId="67924321" w14:textId="77777777" w:rsidTr="000339D3">
        <w:tc>
          <w:tcPr>
            <w:tcW w:w="1888" w:type="pct"/>
            <w:shd w:val="clear" w:color="auto" w:fill="auto"/>
            <w:tcMar>
              <w:top w:w="0" w:type="dxa"/>
              <w:bottom w:w="0" w:type="dxa"/>
            </w:tcMar>
            <w:vAlign w:val="center"/>
          </w:tcPr>
          <w:p w14:paraId="4AA97040"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 Industrial production</w:t>
            </w:r>
          </w:p>
        </w:tc>
        <w:tc>
          <w:tcPr>
            <w:tcW w:w="939" w:type="pct"/>
            <w:shd w:val="clear" w:color="auto" w:fill="auto"/>
            <w:tcMar>
              <w:top w:w="0" w:type="dxa"/>
              <w:bottom w:w="0" w:type="dxa"/>
            </w:tcMar>
            <w:vAlign w:val="center"/>
          </w:tcPr>
          <w:p w14:paraId="61441313"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292.8</w:t>
            </w:r>
          </w:p>
        </w:tc>
        <w:tc>
          <w:tcPr>
            <w:tcW w:w="1192" w:type="pct"/>
            <w:shd w:val="clear" w:color="auto" w:fill="auto"/>
            <w:tcMar>
              <w:top w:w="0" w:type="dxa"/>
              <w:bottom w:w="0" w:type="dxa"/>
            </w:tcMar>
            <w:vAlign w:val="center"/>
          </w:tcPr>
          <w:p w14:paraId="0B9CB937"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495.2</w:t>
            </w:r>
          </w:p>
        </w:tc>
        <w:tc>
          <w:tcPr>
            <w:tcW w:w="981" w:type="pct"/>
            <w:shd w:val="clear" w:color="auto" w:fill="auto"/>
            <w:tcMar>
              <w:top w:w="0" w:type="dxa"/>
              <w:bottom w:w="0" w:type="dxa"/>
            </w:tcMar>
            <w:vAlign w:val="center"/>
          </w:tcPr>
          <w:p w14:paraId="167A2962"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169%</w:t>
            </w:r>
          </w:p>
        </w:tc>
      </w:tr>
      <w:tr w:rsidR="00480C7C" w:rsidRPr="00C372CA" w14:paraId="02388997" w14:textId="77777777" w:rsidTr="000339D3">
        <w:tc>
          <w:tcPr>
            <w:tcW w:w="1888" w:type="pct"/>
            <w:shd w:val="clear" w:color="auto" w:fill="auto"/>
            <w:tcMar>
              <w:top w:w="0" w:type="dxa"/>
              <w:bottom w:w="0" w:type="dxa"/>
            </w:tcMar>
            <w:vAlign w:val="center"/>
          </w:tcPr>
          <w:p w14:paraId="71264178"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 Commerce and Services</w:t>
            </w:r>
          </w:p>
        </w:tc>
        <w:tc>
          <w:tcPr>
            <w:tcW w:w="939" w:type="pct"/>
            <w:shd w:val="clear" w:color="auto" w:fill="auto"/>
            <w:tcMar>
              <w:top w:w="0" w:type="dxa"/>
              <w:bottom w:w="0" w:type="dxa"/>
            </w:tcMar>
            <w:vAlign w:val="center"/>
          </w:tcPr>
          <w:p w14:paraId="63AA9BCB"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25.7</w:t>
            </w:r>
          </w:p>
        </w:tc>
        <w:tc>
          <w:tcPr>
            <w:tcW w:w="1192" w:type="pct"/>
            <w:shd w:val="clear" w:color="auto" w:fill="auto"/>
            <w:tcMar>
              <w:top w:w="0" w:type="dxa"/>
              <w:bottom w:w="0" w:type="dxa"/>
            </w:tcMar>
            <w:vAlign w:val="center"/>
          </w:tcPr>
          <w:p w14:paraId="232796AF"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57.5</w:t>
            </w:r>
          </w:p>
        </w:tc>
        <w:tc>
          <w:tcPr>
            <w:tcW w:w="981" w:type="pct"/>
            <w:shd w:val="clear" w:color="auto" w:fill="auto"/>
            <w:tcMar>
              <w:top w:w="0" w:type="dxa"/>
              <w:bottom w:w="0" w:type="dxa"/>
            </w:tcMar>
            <w:vAlign w:val="center"/>
          </w:tcPr>
          <w:p w14:paraId="40CC8C8B"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224%</w:t>
            </w:r>
          </w:p>
        </w:tc>
      </w:tr>
      <w:tr w:rsidR="00480C7C" w:rsidRPr="00C372CA" w14:paraId="38318DFE" w14:textId="77777777" w:rsidTr="000339D3">
        <w:tc>
          <w:tcPr>
            <w:tcW w:w="1888" w:type="pct"/>
            <w:shd w:val="clear" w:color="auto" w:fill="auto"/>
            <w:tcMar>
              <w:top w:w="0" w:type="dxa"/>
              <w:bottom w:w="0" w:type="dxa"/>
            </w:tcMar>
            <w:vAlign w:val="center"/>
          </w:tcPr>
          <w:p w14:paraId="4E031835" w14:textId="3EB8698C"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2. Financial </w:t>
            </w:r>
            <w:r w:rsidR="00140462" w:rsidRPr="00C372CA">
              <w:rPr>
                <w:rFonts w:ascii="Arial" w:hAnsi="Arial" w:cs="Arial"/>
                <w:color w:val="010000"/>
                <w:sz w:val="20"/>
              </w:rPr>
              <w:t>Revenue</w:t>
            </w:r>
          </w:p>
        </w:tc>
        <w:tc>
          <w:tcPr>
            <w:tcW w:w="939" w:type="pct"/>
            <w:shd w:val="clear" w:color="auto" w:fill="auto"/>
            <w:tcMar>
              <w:top w:w="0" w:type="dxa"/>
              <w:bottom w:w="0" w:type="dxa"/>
            </w:tcMar>
            <w:vAlign w:val="center"/>
          </w:tcPr>
          <w:p w14:paraId="67C4857E"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7,940.2</w:t>
            </w:r>
          </w:p>
        </w:tc>
        <w:tc>
          <w:tcPr>
            <w:tcW w:w="1192" w:type="pct"/>
            <w:shd w:val="clear" w:color="auto" w:fill="auto"/>
            <w:tcMar>
              <w:top w:w="0" w:type="dxa"/>
              <w:bottom w:w="0" w:type="dxa"/>
            </w:tcMar>
            <w:vAlign w:val="center"/>
          </w:tcPr>
          <w:p w14:paraId="79421441"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5,861.1</w:t>
            </w:r>
          </w:p>
        </w:tc>
        <w:tc>
          <w:tcPr>
            <w:tcW w:w="981" w:type="pct"/>
            <w:shd w:val="clear" w:color="auto" w:fill="auto"/>
            <w:tcMar>
              <w:top w:w="0" w:type="dxa"/>
              <w:bottom w:w="0" w:type="dxa"/>
            </w:tcMar>
            <w:vAlign w:val="center"/>
          </w:tcPr>
          <w:p w14:paraId="770FE783"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74%</w:t>
            </w:r>
          </w:p>
        </w:tc>
      </w:tr>
      <w:tr w:rsidR="00480C7C" w:rsidRPr="00C372CA" w14:paraId="10A246AF" w14:textId="77777777" w:rsidTr="000339D3">
        <w:tc>
          <w:tcPr>
            <w:tcW w:w="1888" w:type="pct"/>
            <w:shd w:val="clear" w:color="auto" w:fill="auto"/>
            <w:tcMar>
              <w:top w:w="0" w:type="dxa"/>
              <w:bottom w:w="0" w:type="dxa"/>
            </w:tcMar>
            <w:vAlign w:val="center"/>
          </w:tcPr>
          <w:p w14:paraId="6021176C"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3. Profit after tax</w:t>
            </w:r>
          </w:p>
        </w:tc>
        <w:tc>
          <w:tcPr>
            <w:tcW w:w="939" w:type="pct"/>
            <w:shd w:val="clear" w:color="auto" w:fill="auto"/>
            <w:tcMar>
              <w:top w:w="0" w:type="dxa"/>
              <w:bottom w:w="0" w:type="dxa"/>
            </w:tcMar>
            <w:vAlign w:val="center"/>
          </w:tcPr>
          <w:p w14:paraId="708C7561"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6,767.8</w:t>
            </w:r>
          </w:p>
        </w:tc>
        <w:tc>
          <w:tcPr>
            <w:tcW w:w="1192" w:type="pct"/>
            <w:shd w:val="clear" w:color="auto" w:fill="auto"/>
            <w:tcMar>
              <w:top w:w="0" w:type="dxa"/>
              <w:bottom w:w="0" w:type="dxa"/>
            </w:tcMar>
            <w:vAlign w:val="center"/>
          </w:tcPr>
          <w:p w14:paraId="578000B3"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5,488.9</w:t>
            </w:r>
          </w:p>
        </w:tc>
        <w:tc>
          <w:tcPr>
            <w:tcW w:w="981" w:type="pct"/>
            <w:shd w:val="clear" w:color="auto" w:fill="auto"/>
            <w:tcMar>
              <w:top w:w="0" w:type="dxa"/>
              <w:bottom w:w="0" w:type="dxa"/>
            </w:tcMar>
            <w:vAlign w:val="center"/>
          </w:tcPr>
          <w:p w14:paraId="64A7B39C"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81%</w:t>
            </w:r>
          </w:p>
        </w:tc>
      </w:tr>
    </w:tbl>
    <w:p w14:paraId="3C7E6757"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‎‎Article 3. Approve the settlement of the realized salary and remuneration fund in 2023 and the plan on the salary and remuneration fund for 2024 of the Board of Directors and the Supervisory Board</w:t>
      </w:r>
    </w:p>
    <w:p w14:paraId="584F3E2F" w14:textId="77777777" w:rsidR="00480C7C" w:rsidRPr="00C372CA" w:rsidRDefault="00F03D1B" w:rsidP="000339D3">
      <w:pPr>
        <w:numPr>
          <w:ilvl w:val="0"/>
          <w:numId w:val="7"/>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Approve the settlement of the salary and remuneration fund of the Board of Directors, and the Supervisory Board in 2023 of VND10.282 billion, equivalent to 70.59% of the plan approved by the Annual General Meeting of Shareholders 2023.</w:t>
      </w:r>
    </w:p>
    <w:p w14:paraId="73117926" w14:textId="77777777" w:rsidR="00480C7C" w:rsidRPr="00C372CA" w:rsidRDefault="00F03D1B" w:rsidP="000339D3">
      <w:pPr>
        <w:numPr>
          <w:ilvl w:val="0"/>
          <w:numId w:val="7"/>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Approve the salary and remuneration payment plan of the Board of Directors and the Supervisory Board of Vietnam Engine and Agricultural Machinery Corporation in 2024 of VND10.135 billion.</w:t>
      </w:r>
    </w:p>
    <w:p w14:paraId="00618C1D" w14:textId="2CB3C61A" w:rsidR="00480C7C" w:rsidRPr="00C372CA" w:rsidRDefault="00F03D1B" w:rsidP="000339D3">
      <w:pPr>
        <w:numPr>
          <w:ilvl w:val="0"/>
          <w:numId w:val="7"/>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The General Meeting of Shareholders authorizes the Board of Directors to distribute the salary and remuneration fund in 2024. If there </w:t>
      </w:r>
      <w:r w:rsidR="00140462" w:rsidRPr="00C372CA">
        <w:rPr>
          <w:rFonts w:ascii="Arial" w:hAnsi="Arial" w:cs="Arial"/>
          <w:color w:val="010000"/>
          <w:sz w:val="20"/>
        </w:rPr>
        <w:t>are</w:t>
      </w:r>
      <w:r w:rsidRPr="00C372CA">
        <w:rPr>
          <w:rFonts w:ascii="Arial" w:hAnsi="Arial" w:cs="Arial"/>
          <w:color w:val="010000"/>
          <w:sz w:val="20"/>
        </w:rPr>
        <w:t xml:space="preserve"> any changes in the number of members of the Board of Directors and the Supervisors as well as working hours during the year, the salary and remuneration fund will be changed accordingly.</w:t>
      </w:r>
    </w:p>
    <w:p w14:paraId="3948D7D4" w14:textId="07C39C94"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‎‎Article 4. Approve the results of the dismissal and election of additional members for the Board of Directors for the term of 2022-2027</w:t>
      </w:r>
    </w:p>
    <w:p w14:paraId="3A8CA8B3" w14:textId="24B18ADE" w:rsidR="00480C7C" w:rsidRPr="00C372CA" w:rsidRDefault="00F03D1B" w:rsidP="000339D3">
      <w:pPr>
        <w:numPr>
          <w:ilvl w:val="0"/>
          <w:numId w:val="1"/>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Approve the results of the </w:t>
      </w:r>
      <w:r w:rsidR="00C372CA" w:rsidRPr="00C372CA">
        <w:rPr>
          <w:rFonts w:ascii="Arial" w:hAnsi="Arial" w:cs="Arial"/>
          <w:color w:val="010000"/>
          <w:sz w:val="20"/>
        </w:rPr>
        <w:t>removal</w:t>
      </w:r>
      <w:r w:rsidRPr="00C372CA">
        <w:rPr>
          <w:rFonts w:ascii="Arial" w:hAnsi="Arial" w:cs="Arial"/>
          <w:color w:val="010000"/>
          <w:sz w:val="20"/>
        </w:rPr>
        <w:t xml:space="preserve"> of members of the Board of Directors in the term of 2022-2027 for Mr. Phan Pham Ha.</w:t>
      </w:r>
    </w:p>
    <w:p w14:paraId="4130A43C" w14:textId="77777777" w:rsidR="00480C7C" w:rsidRPr="00C372CA" w:rsidRDefault="00F03D1B" w:rsidP="000339D3">
      <w:pPr>
        <w:numPr>
          <w:ilvl w:val="0"/>
          <w:numId w:val="1"/>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Approve the results of the dismissal of members of the Board of Directors in the term of 2022-2027 for the 02 members named below:</w:t>
      </w:r>
    </w:p>
    <w:p w14:paraId="02195709" w14:textId="77777777" w:rsidR="00480C7C" w:rsidRPr="00C372CA" w:rsidRDefault="00F03D1B"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Mr. Nguyen Khac Hai, the Chair of the Board of Directors;</w:t>
      </w:r>
    </w:p>
    <w:p w14:paraId="212CA174" w14:textId="11574AC1" w:rsidR="00480C7C" w:rsidRPr="00C372CA" w:rsidRDefault="00140462"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Ms. Nguyen Thi Nga, </w:t>
      </w:r>
      <w:r w:rsidR="00F03D1B" w:rsidRPr="00C372CA">
        <w:rPr>
          <w:rFonts w:ascii="Arial" w:hAnsi="Arial" w:cs="Arial"/>
          <w:color w:val="010000"/>
          <w:sz w:val="20"/>
        </w:rPr>
        <w:t>Member of the Board of Directors.</w:t>
      </w:r>
    </w:p>
    <w:p w14:paraId="483AA6ED" w14:textId="279C0DA4" w:rsidR="00480C7C" w:rsidRPr="00C372CA" w:rsidRDefault="00F03D1B" w:rsidP="000339D3">
      <w:pPr>
        <w:numPr>
          <w:ilvl w:val="0"/>
          <w:numId w:val="1"/>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Approve the results of the election of</w:t>
      </w:r>
      <w:r w:rsidR="001D1802" w:rsidRPr="00C372CA">
        <w:rPr>
          <w:rFonts w:ascii="Arial" w:hAnsi="Arial" w:cs="Arial"/>
          <w:color w:val="010000"/>
          <w:sz w:val="20"/>
        </w:rPr>
        <w:t xml:space="preserve"> </w:t>
      </w:r>
      <w:r w:rsidRPr="00C372CA">
        <w:rPr>
          <w:rFonts w:ascii="Arial" w:hAnsi="Arial" w:cs="Arial"/>
          <w:color w:val="010000"/>
          <w:sz w:val="20"/>
        </w:rPr>
        <w:t>additional members for the Board of Directors in the term of 2022-2027 for 04 members named below:</w:t>
      </w:r>
    </w:p>
    <w:p w14:paraId="0D229D08" w14:textId="5F90F847" w:rsidR="00480C7C" w:rsidRPr="00C372CA" w:rsidRDefault="00140462"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Mr. Ngo Khai Hoan, </w:t>
      </w:r>
      <w:r w:rsidR="00F03D1B" w:rsidRPr="00C372CA">
        <w:rPr>
          <w:rFonts w:ascii="Arial" w:hAnsi="Arial" w:cs="Arial"/>
          <w:color w:val="010000"/>
          <w:sz w:val="20"/>
        </w:rPr>
        <w:t>Member of the Board of Directors;</w:t>
      </w:r>
    </w:p>
    <w:p w14:paraId="03EEE199" w14:textId="77777777" w:rsidR="00480C7C" w:rsidRPr="00C372CA" w:rsidRDefault="00F03D1B"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Mr. Nguyen Hoang Giang, Member of the Board of Directors;</w:t>
      </w:r>
    </w:p>
    <w:p w14:paraId="7E516C11" w14:textId="77777777" w:rsidR="00480C7C" w:rsidRPr="00C372CA" w:rsidRDefault="00F03D1B"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Ms. Nguyen Thi Hoa, Member of the Board of Directors;</w:t>
      </w:r>
    </w:p>
    <w:p w14:paraId="14ABBEF1" w14:textId="77777777" w:rsidR="00480C7C" w:rsidRPr="00C372CA" w:rsidRDefault="00F03D1B"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lastRenderedPageBreak/>
        <w:t>Ms. Tran Thi Nguyet, Member of the Board of Directors.</w:t>
      </w:r>
    </w:p>
    <w:p w14:paraId="1BC8D348"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‎‎Article 5. Approve the listing of the shares of Vietnam Engine and Agricultural Machinery Corporation</w:t>
      </w:r>
    </w:p>
    <w:p w14:paraId="025E3FAF" w14:textId="1ADAEA53" w:rsidR="00480C7C" w:rsidRPr="00C372CA" w:rsidRDefault="00F03D1B" w:rsidP="000339D3">
      <w:pPr>
        <w:numPr>
          <w:ilvl w:val="0"/>
          <w:numId w:val="3"/>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Approve the listing of the shares of Vietnam Engine and Agricultural Machinery Corporation </w:t>
      </w:r>
    </w:p>
    <w:p w14:paraId="74BDDDD5" w14:textId="07F80DF5" w:rsidR="00480C7C" w:rsidRPr="00C372CA" w:rsidRDefault="00F03D1B" w:rsidP="000339D3">
      <w:pPr>
        <w:numPr>
          <w:ilvl w:val="0"/>
          <w:numId w:val="3"/>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The General Meeting of Shareholders authorize</w:t>
      </w:r>
      <w:r w:rsidR="00140462" w:rsidRPr="00C372CA">
        <w:rPr>
          <w:rFonts w:ascii="Arial" w:hAnsi="Arial" w:cs="Arial"/>
          <w:color w:val="010000"/>
          <w:sz w:val="20"/>
        </w:rPr>
        <w:t>d</w:t>
      </w:r>
      <w:r w:rsidRPr="00C372CA">
        <w:rPr>
          <w:rFonts w:ascii="Arial" w:hAnsi="Arial" w:cs="Arial"/>
          <w:color w:val="010000"/>
          <w:sz w:val="20"/>
        </w:rPr>
        <w:t xml:space="preserve"> the Board of Directors to carry out procedures related to the listing of the shares of Vietnam Engine and Agricultural Machinery Corporation at the Exchange when conditions are met </w:t>
      </w:r>
      <w:r w:rsidR="00140462" w:rsidRPr="00C372CA">
        <w:rPr>
          <w:rFonts w:ascii="Arial" w:hAnsi="Arial" w:cs="Arial"/>
          <w:color w:val="010000"/>
          <w:sz w:val="20"/>
        </w:rPr>
        <w:t>under</w:t>
      </w:r>
      <w:r w:rsidRPr="00C372CA">
        <w:rPr>
          <w:rFonts w:ascii="Arial" w:hAnsi="Arial" w:cs="Arial"/>
          <w:color w:val="010000"/>
          <w:sz w:val="20"/>
        </w:rPr>
        <w:t xml:space="preserve"> relevant </w:t>
      </w:r>
      <w:r w:rsidR="00140462" w:rsidRPr="00C372CA">
        <w:rPr>
          <w:rFonts w:ascii="Arial" w:hAnsi="Arial" w:cs="Arial"/>
          <w:color w:val="010000"/>
          <w:sz w:val="20"/>
        </w:rPr>
        <w:t>provisions</w:t>
      </w:r>
      <w:r w:rsidRPr="00C372CA">
        <w:rPr>
          <w:rFonts w:ascii="Arial" w:hAnsi="Arial" w:cs="Arial"/>
          <w:color w:val="010000"/>
          <w:sz w:val="20"/>
        </w:rPr>
        <w:t xml:space="preserve"> of law.</w:t>
      </w:r>
    </w:p>
    <w:p w14:paraId="32F43C9A"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‎‎Article 6. Approve the selection of an audit company for the Financial Statements 2024.</w:t>
      </w:r>
    </w:p>
    <w:p w14:paraId="5EC5B30A" w14:textId="44BDB0BE" w:rsidR="00480C7C" w:rsidRPr="00C372CA" w:rsidRDefault="00F03D1B" w:rsidP="000339D3">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The General Meeting of Shareholders authorizes the Board of Directors to decide on the selection of one of the audit companies as proposed by the Supervisory Board and assigns the General Manager to sign a contract on the provision of audit services with the selected audit company to</w:t>
      </w:r>
      <w:r w:rsidR="001D1802" w:rsidRPr="00C372CA">
        <w:rPr>
          <w:rFonts w:ascii="Arial" w:hAnsi="Arial" w:cs="Arial"/>
          <w:color w:val="010000"/>
          <w:sz w:val="20"/>
        </w:rPr>
        <w:t xml:space="preserve"> </w:t>
      </w:r>
      <w:r w:rsidRPr="00C372CA">
        <w:rPr>
          <w:rFonts w:ascii="Arial" w:hAnsi="Arial" w:cs="Arial"/>
          <w:color w:val="010000"/>
          <w:sz w:val="20"/>
        </w:rPr>
        <w:t>audit and review the Financial Statements 2024 of Vietnam Engine and Agricultural Machinery Corporation. The list of Audit Companies to select from includes:</w:t>
      </w:r>
    </w:p>
    <w:p w14:paraId="61727154" w14:textId="77777777" w:rsidR="00480C7C" w:rsidRPr="00C372CA" w:rsidRDefault="00F03D1B"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Deloitte Vietnam Company Limited;</w:t>
      </w:r>
    </w:p>
    <w:p w14:paraId="7E729687" w14:textId="77777777" w:rsidR="00480C7C" w:rsidRPr="00C372CA" w:rsidRDefault="00F03D1B"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PwC (Vietnam) Limited;</w:t>
      </w:r>
    </w:p>
    <w:p w14:paraId="0D05B248" w14:textId="77777777" w:rsidR="00480C7C" w:rsidRPr="00C372CA" w:rsidRDefault="00F03D1B"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Ernst &amp; Young Vietnam Limited;</w:t>
      </w:r>
    </w:p>
    <w:p w14:paraId="2E9523BD" w14:textId="77777777" w:rsidR="00480C7C" w:rsidRPr="00C372CA" w:rsidRDefault="00F03D1B"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KPMG Limited;</w:t>
      </w:r>
    </w:p>
    <w:p w14:paraId="2A88CA40" w14:textId="77777777" w:rsidR="00480C7C" w:rsidRPr="00C372CA" w:rsidRDefault="00F03D1B"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Vietnam Auditing and Evaluation Co., Ltd. (VAE);</w:t>
      </w:r>
    </w:p>
    <w:p w14:paraId="5CC3C2C1" w14:textId="77777777" w:rsidR="00480C7C" w:rsidRPr="00C372CA" w:rsidRDefault="00F03D1B"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UHY Auditing &amp; Consulting Company Limited;</w:t>
      </w:r>
    </w:p>
    <w:p w14:paraId="5D134738" w14:textId="77777777" w:rsidR="00480C7C" w:rsidRPr="00C372CA" w:rsidRDefault="00F03D1B" w:rsidP="000339D3">
      <w:pPr>
        <w:numPr>
          <w:ilvl w:val="0"/>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VACO Auditing Company Limited.</w:t>
      </w:r>
    </w:p>
    <w:p w14:paraId="47A018C5" w14:textId="1302006F" w:rsidR="00480C7C" w:rsidRPr="00C372CA" w:rsidRDefault="00F03D1B" w:rsidP="000339D3">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The criteria for selecting an independent audit company are on approving the list of audit companies for the Financial Statements 2024.</w:t>
      </w:r>
    </w:p>
    <w:p w14:paraId="63E306D8" w14:textId="77777777" w:rsidR="00480C7C" w:rsidRPr="00C372CA" w:rsidRDefault="00F03D1B" w:rsidP="000339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72CA">
        <w:rPr>
          <w:rFonts w:ascii="Arial" w:hAnsi="Arial" w:cs="Arial"/>
          <w:color w:val="010000"/>
          <w:sz w:val="20"/>
        </w:rPr>
        <w:t>‎‎Article 7. Terms of enforcement</w:t>
      </w:r>
    </w:p>
    <w:p w14:paraId="178A7F09" w14:textId="2468A90C" w:rsidR="00480C7C" w:rsidRPr="00C372CA" w:rsidRDefault="00F03D1B" w:rsidP="000339D3">
      <w:pPr>
        <w:numPr>
          <w:ilvl w:val="0"/>
          <w:numId w:val="5"/>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 xml:space="preserve">The General Meeting of Shareholders assigns the Board of </w:t>
      </w:r>
      <w:r w:rsidR="00140462" w:rsidRPr="00C372CA">
        <w:rPr>
          <w:rFonts w:ascii="Arial" w:hAnsi="Arial" w:cs="Arial"/>
          <w:color w:val="010000"/>
          <w:sz w:val="20"/>
        </w:rPr>
        <w:t>Directors, t</w:t>
      </w:r>
      <w:r w:rsidRPr="00C372CA">
        <w:rPr>
          <w:rFonts w:ascii="Arial" w:hAnsi="Arial" w:cs="Arial"/>
          <w:color w:val="010000"/>
          <w:sz w:val="20"/>
        </w:rPr>
        <w:t>he Supervisory Board and the General Manager are responsible for the implementation of this General Mandate.</w:t>
      </w:r>
    </w:p>
    <w:p w14:paraId="37384BB2" w14:textId="77777777" w:rsidR="00480C7C" w:rsidRPr="00C372CA" w:rsidRDefault="00F03D1B" w:rsidP="000339D3">
      <w:pPr>
        <w:numPr>
          <w:ilvl w:val="0"/>
          <w:numId w:val="5"/>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C372CA">
        <w:rPr>
          <w:rFonts w:ascii="Arial" w:hAnsi="Arial" w:cs="Arial"/>
          <w:color w:val="010000"/>
          <w:sz w:val="20"/>
        </w:rPr>
        <w:t>This General Mandate has been unanimously approved by the General Meeting of Shareholders and takes effect from the end of the Annual General Meeting of Shareholders 2024./.</w:t>
      </w:r>
    </w:p>
    <w:sectPr w:rsidR="00480C7C" w:rsidRPr="00C372CA" w:rsidSect="000339D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E97"/>
    <w:multiLevelType w:val="multilevel"/>
    <w:tmpl w:val="B2D2CA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8A5916"/>
    <w:multiLevelType w:val="multilevel"/>
    <w:tmpl w:val="2DFEC1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113C97"/>
    <w:multiLevelType w:val="multilevel"/>
    <w:tmpl w:val="908480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D45114"/>
    <w:multiLevelType w:val="multilevel"/>
    <w:tmpl w:val="013235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48A7DC6"/>
    <w:multiLevelType w:val="multilevel"/>
    <w:tmpl w:val="E8B29DB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CBF1769"/>
    <w:multiLevelType w:val="multilevel"/>
    <w:tmpl w:val="BB6234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EEF061F"/>
    <w:multiLevelType w:val="multilevel"/>
    <w:tmpl w:val="12CA52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7C"/>
    <w:rsid w:val="000339D3"/>
    <w:rsid w:val="00140462"/>
    <w:rsid w:val="001D1802"/>
    <w:rsid w:val="0046280F"/>
    <w:rsid w:val="00480C7C"/>
    <w:rsid w:val="0059450E"/>
    <w:rsid w:val="00BF4546"/>
    <w:rsid w:val="00C372CA"/>
    <w:rsid w:val="00E31D71"/>
    <w:rsid w:val="00E45712"/>
    <w:rsid w:val="00F03D1B"/>
    <w:rsid w:val="00F5303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B560F"/>
  <w15:docId w15:val="{B9799554-2E0A-4B25-96BC-08DC1017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C66665"/>
      <w:w w:val="6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rPr>
  </w:style>
  <w:style w:type="paragraph" w:customStyle="1" w:styleId="Heading11">
    <w:name w:val="Heading #1"/>
    <w:basedOn w:val="Normal"/>
    <w:link w:val="Heading10"/>
    <w:pPr>
      <w:outlineLvl w:val="0"/>
    </w:pPr>
    <w:rPr>
      <w:rFonts w:ascii="Times New Roman" w:eastAsia="Times New Roman" w:hAnsi="Times New Roman" w:cs="Times New Roman"/>
      <w:b/>
      <w:bCs/>
    </w:rPr>
  </w:style>
  <w:style w:type="paragraph" w:customStyle="1" w:styleId="Bodytext20">
    <w:name w:val="Body text (2)"/>
    <w:basedOn w:val="Normal"/>
    <w:link w:val="Bodytext2"/>
    <w:pPr>
      <w:ind w:left="50"/>
    </w:pPr>
    <w:rPr>
      <w:rFonts w:ascii="Times New Roman" w:eastAsia="Times New Roman" w:hAnsi="Times New Roman" w:cs="Times New Roman"/>
      <w:b/>
      <w:bCs/>
      <w:color w:val="C66665"/>
      <w:w w:val="60"/>
      <w:sz w:val="20"/>
      <w:szCs w:val="20"/>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i/>
      <w:iCs/>
    </w:rPr>
  </w:style>
  <w:style w:type="paragraph" w:customStyle="1" w:styleId="Other0">
    <w:name w:val="Other"/>
    <w:basedOn w:val="Normal"/>
    <w:link w:val="Other"/>
    <w:pPr>
      <w:spacing w:line="269" w:lineRule="auto"/>
      <w:ind w:firstLine="400"/>
    </w:pPr>
    <w:rPr>
      <w:rFonts w:ascii="Times New Roman" w:eastAsia="Times New Roman" w:hAnsi="Times New Roman" w:cs="Times New Roman"/>
    </w:rPr>
  </w:style>
  <w:style w:type="paragraph" w:styleId="ListParagraph">
    <w:name w:val="List Paragraph"/>
    <w:basedOn w:val="Normal"/>
    <w:uiPriority w:val="34"/>
    <w:qFormat/>
    <w:rsid w:val="00A96BA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NGaRKpbiHc3ZCwl4x9mhoxDgfg==">CgMxLjA4AHIhMXlkc1A0UEpxcGFGdUNLcjR3eERFaEhFX21qblZyUmJl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901</Words>
  <Characters>4632</Characters>
  <Application>Microsoft Office Word</Application>
  <DocSecurity>0</DocSecurity>
  <Lines>136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12</cp:revision>
  <dcterms:created xsi:type="dcterms:W3CDTF">2024-06-26T04:45:00Z</dcterms:created>
  <dcterms:modified xsi:type="dcterms:W3CDTF">2024-06-28T01:26:00Z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1f8f0a5e5f0ec7ffa506cd63045994949c141dc50d7948bbacfbdc33e9263a5d</vt:lpwstr>
  </property>
</Properties>
</file>