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75B4"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52280">
        <w:rPr>
          <w:rFonts w:ascii="Arial" w:hAnsi="Arial" w:cs="Arial"/>
          <w:b/>
          <w:bCs/>
          <w:color w:val="010000"/>
          <w:sz w:val="20"/>
        </w:rPr>
        <w:t>CC1:</w:t>
      </w:r>
      <w:r w:rsidRPr="00C52280">
        <w:rPr>
          <w:rFonts w:ascii="Arial" w:hAnsi="Arial" w:cs="Arial"/>
          <w:b/>
          <w:color w:val="010000"/>
          <w:sz w:val="20"/>
        </w:rPr>
        <w:t xml:space="preserve"> Annual General Mandate 2024</w:t>
      </w:r>
    </w:p>
    <w:p w14:paraId="2E0F6670"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On May 24, 2024, Construction Corporation No.1 Joint Stock Company announced General Mandate No. 75/2024/NQ-DHDCD as follows:</w:t>
      </w:r>
    </w:p>
    <w:p w14:paraId="1FD9ADAE"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 Approve the Report on activities of the Board of Directors 2023 and the operating orientation plan 2024 (including the Report on activities of independent members of the Board of Directors 2023 and the Report of the Audit Committee 2023 and the plan for 2024).</w:t>
      </w:r>
    </w:p>
    <w:p w14:paraId="7CE8C1A0"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2. Approve the Report on the results of production and business activities 2023 of the Board of Management.</w:t>
      </w:r>
    </w:p>
    <w:p w14:paraId="08591A07" w14:textId="5E39206A" w:rsidR="006E7806" w:rsidRPr="00C52280" w:rsidRDefault="008D2A6C" w:rsidP="007639F7">
      <w:pP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Results of production and business activities 2023</w:t>
      </w:r>
      <w:r w:rsidR="007639F7">
        <w:rPr>
          <w:rFonts w:ascii="Arial" w:hAnsi="Arial" w:cs="Arial"/>
          <w:color w:val="010000"/>
          <w:sz w:val="20"/>
        </w:rPr>
        <w:t xml:space="preserve"> </w:t>
      </w:r>
      <w:r w:rsidRPr="00C52280">
        <w:rPr>
          <w:rFonts w:ascii="Arial" w:hAnsi="Arial" w:cs="Arial"/>
          <w:color w:val="010000"/>
          <w:sz w:val="20"/>
        </w:rPr>
        <w:t>- Holding Company</w:t>
      </w:r>
    </w:p>
    <w:p w14:paraId="5D483E9B" w14:textId="77777777" w:rsidR="006E7806" w:rsidRPr="00C52280" w:rsidRDefault="008D2A6C" w:rsidP="00C52280">
      <w:pPr>
        <w:tabs>
          <w:tab w:val="left" w:pos="432"/>
        </w:tabs>
        <w:spacing w:after="120" w:line="360" w:lineRule="auto"/>
        <w:jc w:val="right"/>
        <w:rPr>
          <w:rFonts w:ascii="Arial" w:eastAsia="Arial" w:hAnsi="Arial" w:cs="Arial"/>
          <w:color w:val="010000"/>
          <w:sz w:val="20"/>
          <w:szCs w:val="20"/>
        </w:rPr>
      </w:pPr>
      <w:r w:rsidRPr="00C52280">
        <w:rPr>
          <w:rFonts w:ascii="Arial" w:hAnsi="Arial" w:cs="Arial"/>
          <w:color w:val="010000"/>
          <w:sz w:val="20"/>
        </w:rPr>
        <w:t>Unit: Billion VND</w:t>
      </w: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626"/>
        <w:gridCol w:w="2863"/>
        <w:gridCol w:w="1150"/>
        <w:gridCol w:w="1134"/>
        <w:gridCol w:w="1271"/>
        <w:gridCol w:w="974"/>
        <w:gridCol w:w="993"/>
      </w:tblGrid>
      <w:tr w:rsidR="006E7806" w:rsidRPr="00C52280" w14:paraId="2664F712" w14:textId="77777777" w:rsidTr="00C52280">
        <w:tc>
          <w:tcPr>
            <w:tcW w:w="348"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796A5C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No.</w:t>
            </w:r>
          </w:p>
        </w:tc>
        <w:tc>
          <w:tcPr>
            <w:tcW w:w="1589"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962016F"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Content</w:t>
            </w:r>
          </w:p>
        </w:tc>
        <w:tc>
          <w:tcPr>
            <w:tcW w:w="638"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FDDBFC4"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w:t>
            </w:r>
          </w:p>
          <w:p w14:paraId="69127DC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2023</w:t>
            </w:r>
          </w:p>
        </w:tc>
        <w:tc>
          <w:tcPr>
            <w:tcW w:w="629"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56FD7EB"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w:t>
            </w:r>
          </w:p>
          <w:p w14:paraId="2EBB14AF"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2023</w:t>
            </w:r>
          </w:p>
        </w:tc>
        <w:tc>
          <w:tcPr>
            <w:tcW w:w="705"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A154DE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w:t>
            </w:r>
          </w:p>
          <w:p w14:paraId="7E5A3F9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2022</w:t>
            </w:r>
          </w:p>
        </w:tc>
        <w:tc>
          <w:tcPr>
            <w:tcW w:w="1092" w:type="pct"/>
            <w:gridSpan w:val="2"/>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746E8FC"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Rate (%)</w:t>
            </w:r>
          </w:p>
        </w:tc>
      </w:tr>
      <w:tr w:rsidR="006E7806" w:rsidRPr="00C52280" w14:paraId="7CE066E3" w14:textId="77777777" w:rsidTr="00C52280">
        <w:tc>
          <w:tcPr>
            <w:tcW w:w="348"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0A673A1F"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1589"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352D5CCD"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638"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284DFE63"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629"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5324F49B"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705"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4BC8B394"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D9E035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Compared to</w:t>
            </w:r>
          </w:p>
          <w:p w14:paraId="61F3F561"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 2023</w:t>
            </w:r>
          </w:p>
        </w:tc>
        <w:tc>
          <w:tcPr>
            <w:tcW w:w="55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71967F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Compared to</w:t>
            </w:r>
          </w:p>
          <w:p w14:paraId="54B69E36"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 2022</w:t>
            </w:r>
          </w:p>
        </w:tc>
      </w:tr>
      <w:tr w:rsidR="006E7806" w:rsidRPr="00C52280" w14:paraId="6E5A675B"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7D81A8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w:t>
            </w:r>
          </w:p>
        </w:tc>
        <w:tc>
          <w:tcPr>
            <w:tcW w:w="158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87ECE37"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Net revenue</w:t>
            </w:r>
          </w:p>
        </w:tc>
        <w:tc>
          <w:tcPr>
            <w:tcW w:w="63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3B9E2A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5,501</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D39163B"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9,479</w:t>
            </w:r>
          </w:p>
        </w:tc>
        <w:tc>
          <w:tcPr>
            <w:tcW w:w="705"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216AF0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5,156</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B46427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58%</w:t>
            </w:r>
          </w:p>
        </w:tc>
        <w:tc>
          <w:tcPr>
            <w:tcW w:w="55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1719B2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107%</w:t>
            </w:r>
          </w:p>
        </w:tc>
      </w:tr>
      <w:tr w:rsidR="006E7806" w:rsidRPr="00C52280" w14:paraId="5CE346AA"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D3C0AB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w:t>
            </w:r>
          </w:p>
        </w:tc>
        <w:tc>
          <w:tcPr>
            <w:tcW w:w="158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374D818"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Gross profit</w:t>
            </w:r>
          </w:p>
        </w:tc>
        <w:tc>
          <w:tcPr>
            <w:tcW w:w="63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492C59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262</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DB4216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477</w:t>
            </w:r>
          </w:p>
        </w:tc>
        <w:tc>
          <w:tcPr>
            <w:tcW w:w="705"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2715E0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338</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232146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55%</w:t>
            </w:r>
          </w:p>
        </w:tc>
        <w:tc>
          <w:tcPr>
            <w:tcW w:w="55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646958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78%</w:t>
            </w:r>
          </w:p>
        </w:tc>
      </w:tr>
      <w:tr w:rsidR="006E7806" w:rsidRPr="00C52280" w14:paraId="79416A44"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61AD3CF"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w:t>
            </w:r>
          </w:p>
        </w:tc>
        <w:tc>
          <w:tcPr>
            <w:tcW w:w="158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E3C5CD4"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before tax</w:t>
            </w:r>
          </w:p>
        </w:tc>
        <w:tc>
          <w:tcPr>
            <w:tcW w:w="63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CC2067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302</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A7DACD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250</w:t>
            </w:r>
          </w:p>
        </w:tc>
        <w:tc>
          <w:tcPr>
            <w:tcW w:w="705"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25D5A47"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274</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25D0DEB"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121%</w:t>
            </w:r>
          </w:p>
        </w:tc>
        <w:tc>
          <w:tcPr>
            <w:tcW w:w="552" w:type="pct"/>
            <w:tcBorders>
              <w:top w:val="nil"/>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6EBA5B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110%</w:t>
            </w:r>
          </w:p>
        </w:tc>
      </w:tr>
      <w:tr w:rsidR="006E7806" w:rsidRPr="00C52280" w14:paraId="1A6B5491"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D96BE8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w:t>
            </w:r>
          </w:p>
        </w:tc>
        <w:tc>
          <w:tcPr>
            <w:tcW w:w="158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B17CC0E"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after tax</w:t>
            </w:r>
          </w:p>
        </w:tc>
        <w:tc>
          <w:tcPr>
            <w:tcW w:w="63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AFC29D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226</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6DD5D7F"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200</w:t>
            </w:r>
          </w:p>
        </w:tc>
        <w:tc>
          <w:tcPr>
            <w:tcW w:w="705"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5587C7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216</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EAAFAC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113%</w:t>
            </w:r>
          </w:p>
        </w:tc>
        <w:tc>
          <w:tcPr>
            <w:tcW w:w="55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0647F1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105%</w:t>
            </w:r>
          </w:p>
        </w:tc>
      </w:tr>
      <w:tr w:rsidR="006E7806" w:rsidRPr="00C52280" w14:paraId="4AF9057B"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2980AA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w:t>
            </w:r>
          </w:p>
        </w:tc>
        <w:tc>
          <w:tcPr>
            <w:tcW w:w="158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DDD898D"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Gross profit rate</w:t>
            </w:r>
          </w:p>
        </w:tc>
        <w:tc>
          <w:tcPr>
            <w:tcW w:w="63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6F2BAB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4.8%</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8F2E0A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5.0%</w:t>
            </w:r>
          </w:p>
        </w:tc>
        <w:tc>
          <w:tcPr>
            <w:tcW w:w="705"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8A1CB4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6.6%</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2001D6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95%</w:t>
            </w:r>
          </w:p>
        </w:tc>
        <w:tc>
          <w:tcPr>
            <w:tcW w:w="55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9743A9B"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73%</w:t>
            </w:r>
          </w:p>
        </w:tc>
      </w:tr>
      <w:tr w:rsidR="006E7806" w:rsidRPr="00C52280" w14:paraId="2BEA7279" w14:textId="77777777" w:rsidTr="00C52280">
        <w:tc>
          <w:tcPr>
            <w:tcW w:w="348"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4E5409D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w:t>
            </w:r>
          </w:p>
        </w:tc>
        <w:tc>
          <w:tcPr>
            <w:tcW w:w="1589"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090B3662"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after tax/ net revenue rate</w:t>
            </w:r>
          </w:p>
        </w:tc>
        <w:tc>
          <w:tcPr>
            <w:tcW w:w="638"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0E3211F1"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4.1%</w:t>
            </w:r>
          </w:p>
        </w:tc>
        <w:tc>
          <w:tcPr>
            <w:tcW w:w="629"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31E6F0D7"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2.1%</w:t>
            </w:r>
          </w:p>
        </w:tc>
        <w:tc>
          <w:tcPr>
            <w:tcW w:w="705"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03B23AFB"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4.2%</w:t>
            </w:r>
          </w:p>
        </w:tc>
        <w:tc>
          <w:tcPr>
            <w:tcW w:w="540"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678D5E9C"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195%</w:t>
            </w:r>
          </w:p>
        </w:tc>
        <w:tc>
          <w:tcPr>
            <w:tcW w:w="552"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3573860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98%</w:t>
            </w:r>
          </w:p>
        </w:tc>
      </w:tr>
    </w:tbl>
    <w:p w14:paraId="5C3645F3"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Results of production and business activities 2023- Consolidated</w:t>
      </w:r>
    </w:p>
    <w:p w14:paraId="29266BBF" w14:textId="77777777" w:rsidR="006E7806" w:rsidRPr="00C52280" w:rsidRDefault="008D2A6C" w:rsidP="00C52280">
      <w:pPr>
        <w:tabs>
          <w:tab w:val="left" w:pos="432"/>
        </w:tabs>
        <w:spacing w:after="120" w:line="360" w:lineRule="auto"/>
        <w:jc w:val="right"/>
        <w:rPr>
          <w:rFonts w:ascii="Arial" w:eastAsia="Arial" w:hAnsi="Arial" w:cs="Arial"/>
          <w:color w:val="010000"/>
          <w:sz w:val="20"/>
          <w:szCs w:val="20"/>
        </w:rPr>
      </w:pPr>
      <w:r w:rsidRPr="00C52280">
        <w:rPr>
          <w:rFonts w:ascii="Arial" w:hAnsi="Arial" w:cs="Arial"/>
          <w:color w:val="010000"/>
          <w:sz w:val="20"/>
        </w:rPr>
        <w:t>Unit: Billion VND</w:t>
      </w:r>
    </w:p>
    <w:tbl>
      <w:tblPr>
        <w:tblStyle w:val="a0"/>
        <w:tblW w:w="5000" w:type="pct"/>
        <w:tblBorders>
          <w:top w:val="nil"/>
          <w:left w:val="nil"/>
          <w:bottom w:val="nil"/>
          <w:right w:val="nil"/>
          <w:insideH w:val="nil"/>
          <w:insideV w:val="nil"/>
        </w:tblBorders>
        <w:tblLook w:val="0600" w:firstRow="0" w:lastRow="0" w:firstColumn="0" w:lastColumn="0" w:noHBand="1" w:noVBand="1"/>
      </w:tblPr>
      <w:tblGrid>
        <w:gridCol w:w="628"/>
        <w:gridCol w:w="3024"/>
        <w:gridCol w:w="1119"/>
        <w:gridCol w:w="1119"/>
        <w:gridCol w:w="1134"/>
        <w:gridCol w:w="974"/>
        <w:gridCol w:w="1013"/>
      </w:tblGrid>
      <w:tr w:rsidR="006E7806" w:rsidRPr="00C52280" w14:paraId="5DDCBDF0" w14:textId="77777777" w:rsidTr="00C52280">
        <w:tc>
          <w:tcPr>
            <w:tcW w:w="348"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2004A84"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No.</w:t>
            </w:r>
          </w:p>
        </w:tc>
        <w:tc>
          <w:tcPr>
            <w:tcW w:w="1677"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037726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Content</w:t>
            </w:r>
          </w:p>
        </w:tc>
        <w:tc>
          <w:tcPr>
            <w:tcW w:w="621"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A2CF26D"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w:t>
            </w:r>
          </w:p>
          <w:p w14:paraId="795CEFA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2023</w:t>
            </w:r>
          </w:p>
        </w:tc>
        <w:tc>
          <w:tcPr>
            <w:tcW w:w="621"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D61B78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w:t>
            </w:r>
          </w:p>
          <w:p w14:paraId="28CA66D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2023</w:t>
            </w:r>
          </w:p>
        </w:tc>
        <w:tc>
          <w:tcPr>
            <w:tcW w:w="629" w:type="pct"/>
            <w:vMerge w:val="restart"/>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7D769B7"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w:t>
            </w:r>
          </w:p>
          <w:p w14:paraId="1DFF931C"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2022</w:t>
            </w:r>
          </w:p>
        </w:tc>
        <w:tc>
          <w:tcPr>
            <w:tcW w:w="1102" w:type="pct"/>
            <w:gridSpan w:val="2"/>
            <w:tcBorders>
              <w:top w:val="single" w:sz="6"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0BB55F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Rate (%)</w:t>
            </w:r>
          </w:p>
        </w:tc>
      </w:tr>
      <w:tr w:rsidR="006E7806" w:rsidRPr="00C52280" w14:paraId="43693FD7" w14:textId="77777777" w:rsidTr="00C52280">
        <w:tc>
          <w:tcPr>
            <w:tcW w:w="348"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786F93CC"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1677"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6B8603B9"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621"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0F49D1E9"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621"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1E069B4F"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629" w:type="pct"/>
            <w:vMerge/>
            <w:tcBorders>
              <w:top w:val="single" w:sz="5" w:space="0" w:color="000000"/>
              <w:left w:val="single" w:sz="6" w:space="0" w:color="000000"/>
              <w:bottom w:val="nil"/>
              <w:right w:val="single" w:sz="6" w:space="0" w:color="000000"/>
            </w:tcBorders>
            <w:shd w:val="clear" w:color="auto" w:fill="auto"/>
            <w:tcMar>
              <w:top w:w="100" w:type="dxa"/>
              <w:left w:w="100" w:type="dxa"/>
              <w:bottom w:w="100" w:type="dxa"/>
              <w:right w:w="100" w:type="dxa"/>
            </w:tcMar>
            <w:vAlign w:val="center"/>
          </w:tcPr>
          <w:p w14:paraId="7E80D9FF" w14:textId="77777777" w:rsidR="006E7806" w:rsidRPr="00C52280" w:rsidRDefault="006E7806" w:rsidP="00C52280">
            <w:pPr>
              <w:tabs>
                <w:tab w:val="left" w:pos="432"/>
              </w:tabs>
              <w:spacing w:after="120" w:line="360" w:lineRule="auto"/>
              <w:rPr>
                <w:rFonts w:ascii="Arial" w:eastAsia="Arial" w:hAnsi="Arial" w:cs="Arial"/>
                <w:color w:val="010000"/>
                <w:sz w:val="20"/>
                <w:szCs w:val="20"/>
              </w:rPr>
            </w:pP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038039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Compared to</w:t>
            </w:r>
          </w:p>
          <w:p w14:paraId="6FEED71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 2023</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8BDF39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Compared to</w:t>
            </w:r>
          </w:p>
          <w:p w14:paraId="6A36626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 2022</w:t>
            </w:r>
          </w:p>
        </w:tc>
      </w:tr>
      <w:tr w:rsidR="006E7806" w:rsidRPr="00C52280" w14:paraId="1BE29BDF"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7C2E6B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w:t>
            </w:r>
          </w:p>
        </w:tc>
        <w:tc>
          <w:tcPr>
            <w:tcW w:w="1677"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B199228"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Net revenue</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F08F1A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5,611</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52B8DC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10,761</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2EBCE2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6,436</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B50C8D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52%</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534F68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87%</w:t>
            </w:r>
          </w:p>
        </w:tc>
      </w:tr>
      <w:tr w:rsidR="006E7806" w:rsidRPr="00C52280" w14:paraId="6574B7F8"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F82730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w:t>
            </w:r>
          </w:p>
        </w:tc>
        <w:tc>
          <w:tcPr>
            <w:tcW w:w="1677"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A83DC83"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Gross profit</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FAF68E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329</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759360C"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785</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47B3E0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497</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70874C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42%</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A75D4E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66%</w:t>
            </w:r>
          </w:p>
        </w:tc>
      </w:tr>
      <w:tr w:rsidR="006E7806" w:rsidRPr="00C52280" w14:paraId="3595BBB5"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9C28514"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lastRenderedPageBreak/>
              <w:t>3</w:t>
            </w:r>
          </w:p>
        </w:tc>
        <w:tc>
          <w:tcPr>
            <w:tcW w:w="1677"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6781DE4"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before tax</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91F949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302</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B931EE6"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231</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6151513"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286</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1D66A9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131%</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9C42A4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106%</w:t>
            </w:r>
          </w:p>
        </w:tc>
      </w:tr>
      <w:tr w:rsidR="006E7806" w:rsidRPr="00C52280" w14:paraId="0D3FF6CC"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4C4EDC2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w:t>
            </w:r>
          </w:p>
        </w:tc>
        <w:tc>
          <w:tcPr>
            <w:tcW w:w="1677"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860B65D"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after tax</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140BA5F"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220</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B3A84E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185</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F09B389"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223</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323992C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119%</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5BFE1A2"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99%</w:t>
            </w:r>
          </w:p>
        </w:tc>
      </w:tr>
      <w:tr w:rsidR="006E7806" w:rsidRPr="00C52280" w14:paraId="77A2A8E7" w14:textId="77777777" w:rsidTr="00C52280">
        <w:tc>
          <w:tcPr>
            <w:tcW w:w="348"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9EB95A5"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w:t>
            </w:r>
          </w:p>
        </w:tc>
        <w:tc>
          <w:tcPr>
            <w:tcW w:w="1677"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0DD8DB39"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Gross profit rate</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535ECBFC"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5.9%</w:t>
            </w:r>
          </w:p>
        </w:tc>
        <w:tc>
          <w:tcPr>
            <w:tcW w:w="621"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76C457D0"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7.3%</w:t>
            </w:r>
          </w:p>
        </w:tc>
        <w:tc>
          <w:tcPr>
            <w:tcW w:w="629"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6569BB86"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7.7%</w:t>
            </w:r>
          </w:p>
        </w:tc>
        <w:tc>
          <w:tcPr>
            <w:tcW w:w="540"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244BF25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80%</w:t>
            </w:r>
          </w:p>
        </w:tc>
        <w:tc>
          <w:tcPr>
            <w:tcW w:w="562" w:type="pct"/>
            <w:tcBorders>
              <w:top w:val="single" w:sz="5" w:space="0" w:color="000000"/>
              <w:left w:val="single" w:sz="6" w:space="0" w:color="000000"/>
              <w:bottom w:val="nil"/>
              <w:right w:val="single" w:sz="6" w:space="0" w:color="000000"/>
            </w:tcBorders>
            <w:shd w:val="clear" w:color="auto" w:fill="auto"/>
            <w:tcMar>
              <w:top w:w="0" w:type="dxa"/>
              <w:left w:w="20" w:type="dxa"/>
              <w:bottom w:w="0" w:type="dxa"/>
              <w:right w:w="20" w:type="dxa"/>
            </w:tcMar>
            <w:vAlign w:val="center"/>
          </w:tcPr>
          <w:p w14:paraId="109D250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76%</w:t>
            </w:r>
          </w:p>
        </w:tc>
      </w:tr>
      <w:tr w:rsidR="006E7806" w:rsidRPr="00C52280" w14:paraId="64EA8D67" w14:textId="77777777" w:rsidTr="00C52280">
        <w:tc>
          <w:tcPr>
            <w:tcW w:w="348"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36368F91"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w:t>
            </w:r>
          </w:p>
        </w:tc>
        <w:tc>
          <w:tcPr>
            <w:tcW w:w="1677"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662E8C02" w14:textId="77777777" w:rsidR="006E7806" w:rsidRPr="00C52280" w:rsidRDefault="008D2A6C" w:rsidP="00C52280">
            <w:pP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after tax/ net revenue rate</w:t>
            </w:r>
          </w:p>
        </w:tc>
        <w:tc>
          <w:tcPr>
            <w:tcW w:w="621"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22BE1CDE"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3.9%</w:t>
            </w:r>
          </w:p>
        </w:tc>
        <w:tc>
          <w:tcPr>
            <w:tcW w:w="621"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726638F4"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1.7%</w:t>
            </w:r>
          </w:p>
        </w:tc>
        <w:tc>
          <w:tcPr>
            <w:tcW w:w="629"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56A3CD5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3.5%</w:t>
            </w:r>
          </w:p>
        </w:tc>
        <w:tc>
          <w:tcPr>
            <w:tcW w:w="540"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6509879A"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228%</w:t>
            </w:r>
          </w:p>
        </w:tc>
        <w:tc>
          <w:tcPr>
            <w:tcW w:w="562" w:type="pct"/>
            <w:tcBorders>
              <w:top w:val="single" w:sz="5" w:space="0" w:color="000000"/>
              <w:left w:val="single" w:sz="6" w:space="0" w:color="000000"/>
              <w:bottom w:val="single" w:sz="6" w:space="0" w:color="000000"/>
              <w:right w:val="single" w:sz="6" w:space="0" w:color="000000"/>
            </w:tcBorders>
            <w:shd w:val="clear" w:color="auto" w:fill="auto"/>
            <w:tcMar>
              <w:top w:w="0" w:type="dxa"/>
              <w:left w:w="20" w:type="dxa"/>
              <w:bottom w:w="0" w:type="dxa"/>
              <w:right w:w="20" w:type="dxa"/>
            </w:tcMar>
            <w:vAlign w:val="center"/>
          </w:tcPr>
          <w:p w14:paraId="39A40898" w14:textId="77777777" w:rsidR="006E7806" w:rsidRPr="00C52280" w:rsidRDefault="008D2A6C" w:rsidP="00C52280">
            <w:pP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113%</w:t>
            </w:r>
          </w:p>
        </w:tc>
      </w:tr>
    </w:tbl>
    <w:p w14:paraId="153F8EA0" w14:textId="77777777" w:rsidR="006E7806" w:rsidRPr="00C52280" w:rsidRDefault="008D2A6C" w:rsidP="007639F7">
      <w:pP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 ‎‎Article 3. Approve the Proposal of the Board of Directors on the Audited Separate and Consolidated Financial Statements 2023.</w:t>
      </w:r>
    </w:p>
    <w:p w14:paraId="424F3A4F"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4. Approve the Proposal of the Board of Directors on the plan of profit distribution and dividend payment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1"/>
        <w:gridCol w:w="3334"/>
        <w:gridCol w:w="2023"/>
        <w:gridCol w:w="503"/>
        <w:gridCol w:w="1728"/>
        <w:gridCol w:w="858"/>
      </w:tblGrid>
      <w:tr w:rsidR="006E7806" w:rsidRPr="00C52280" w14:paraId="5FCF83F0" w14:textId="77777777" w:rsidTr="00C52280">
        <w:tc>
          <w:tcPr>
            <w:tcW w:w="316" w:type="pct"/>
            <w:vMerge w:val="restart"/>
            <w:shd w:val="clear" w:color="auto" w:fill="auto"/>
            <w:tcMar>
              <w:top w:w="0" w:type="dxa"/>
              <w:bottom w:w="0" w:type="dxa"/>
            </w:tcMar>
            <w:vAlign w:val="center"/>
          </w:tcPr>
          <w:p w14:paraId="747CCCA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No.</w:t>
            </w:r>
          </w:p>
        </w:tc>
        <w:tc>
          <w:tcPr>
            <w:tcW w:w="1849" w:type="pct"/>
            <w:vMerge w:val="restart"/>
            <w:shd w:val="clear" w:color="auto" w:fill="auto"/>
            <w:tcMar>
              <w:top w:w="0" w:type="dxa"/>
              <w:bottom w:w="0" w:type="dxa"/>
            </w:tcMar>
            <w:vAlign w:val="center"/>
          </w:tcPr>
          <w:p w14:paraId="72C40858"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 on profit distribution and dividend payment 2023</w:t>
            </w:r>
          </w:p>
        </w:tc>
        <w:tc>
          <w:tcPr>
            <w:tcW w:w="1122" w:type="pct"/>
            <w:vMerge w:val="restart"/>
            <w:shd w:val="clear" w:color="auto" w:fill="auto"/>
            <w:tcMar>
              <w:top w:w="0" w:type="dxa"/>
              <w:bottom w:w="0" w:type="dxa"/>
            </w:tcMar>
            <w:vAlign w:val="center"/>
          </w:tcPr>
          <w:p w14:paraId="6581048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General Mandate 2023</w:t>
            </w:r>
          </w:p>
        </w:tc>
        <w:tc>
          <w:tcPr>
            <w:tcW w:w="1714" w:type="pct"/>
            <w:gridSpan w:val="3"/>
            <w:shd w:val="clear" w:color="auto" w:fill="auto"/>
            <w:tcMar>
              <w:top w:w="0" w:type="dxa"/>
              <w:bottom w:w="0" w:type="dxa"/>
            </w:tcMar>
            <w:vAlign w:val="center"/>
          </w:tcPr>
          <w:p w14:paraId="2198039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 2023</w:t>
            </w:r>
          </w:p>
        </w:tc>
      </w:tr>
      <w:tr w:rsidR="006E7806" w:rsidRPr="00C52280" w14:paraId="40CEE367" w14:textId="77777777" w:rsidTr="00C52280">
        <w:tc>
          <w:tcPr>
            <w:tcW w:w="316" w:type="pct"/>
            <w:vMerge/>
            <w:shd w:val="clear" w:color="auto" w:fill="auto"/>
            <w:tcMar>
              <w:top w:w="0" w:type="dxa"/>
              <w:bottom w:w="0" w:type="dxa"/>
            </w:tcMar>
            <w:vAlign w:val="center"/>
          </w:tcPr>
          <w:p w14:paraId="3705693A"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1849" w:type="pct"/>
            <w:vMerge/>
            <w:shd w:val="clear" w:color="auto" w:fill="auto"/>
            <w:tcMar>
              <w:top w:w="0" w:type="dxa"/>
              <w:bottom w:w="0" w:type="dxa"/>
            </w:tcMar>
            <w:vAlign w:val="center"/>
          </w:tcPr>
          <w:p w14:paraId="65A2A425"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1122" w:type="pct"/>
            <w:vMerge/>
            <w:shd w:val="clear" w:color="auto" w:fill="auto"/>
            <w:tcMar>
              <w:top w:w="0" w:type="dxa"/>
              <w:bottom w:w="0" w:type="dxa"/>
            </w:tcMar>
            <w:vAlign w:val="center"/>
          </w:tcPr>
          <w:p w14:paraId="2B80039F"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279" w:type="pct"/>
            <w:shd w:val="clear" w:color="auto" w:fill="auto"/>
            <w:tcMar>
              <w:top w:w="0" w:type="dxa"/>
              <w:bottom w:w="0" w:type="dxa"/>
            </w:tcMar>
            <w:vAlign w:val="center"/>
          </w:tcPr>
          <w:p w14:paraId="6917BEF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958" w:type="pct"/>
            <w:shd w:val="clear" w:color="auto" w:fill="auto"/>
            <w:tcMar>
              <w:top w:w="0" w:type="dxa"/>
              <w:bottom w:w="0" w:type="dxa"/>
            </w:tcMar>
            <w:vAlign w:val="center"/>
          </w:tcPr>
          <w:p w14:paraId="4F06835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Value</w:t>
            </w:r>
          </w:p>
        </w:tc>
        <w:tc>
          <w:tcPr>
            <w:tcW w:w="477" w:type="pct"/>
            <w:shd w:val="clear" w:color="auto" w:fill="auto"/>
            <w:tcMar>
              <w:top w:w="0" w:type="dxa"/>
              <w:bottom w:w="0" w:type="dxa"/>
            </w:tcMar>
            <w:vAlign w:val="center"/>
          </w:tcPr>
          <w:p w14:paraId="47E895FD"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Unit</w:t>
            </w:r>
          </w:p>
        </w:tc>
      </w:tr>
      <w:tr w:rsidR="006E7806" w:rsidRPr="00C52280" w14:paraId="5C66089D" w14:textId="77777777" w:rsidTr="00C52280">
        <w:tc>
          <w:tcPr>
            <w:tcW w:w="316" w:type="pct"/>
            <w:shd w:val="clear" w:color="auto" w:fill="auto"/>
            <w:tcMar>
              <w:top w:w="0" w:type="dxa"/>
              <w:bottom w:w="0" w:type="dxa"/>
            </w:tcMar>
            <w:vAlign w:val="center"/>
          </w:tcPr>
          <w:p w14:paraId="5BF6ADC0"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w:t>
            </w:r>
          </w:p>
        </w:tc>
        <w:tc>
          <w:tcPr>
            <w:tcW w:w="1849" w:type="pct"/>
            <w:shd w:val="clear" w:color="auto" w:fill="auto"/>
            <w:tcMar>
              <w:top w:w="0" w:type="dxa"/>
              <w:bottom w:w="0" w:type="dxa"/>
            </w:tcMar>
            <w:vAlign w:val="center"/>
          </w:tcPr>
          <w:p w14:paraId="21747598"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after tax 2023</w:t>
            </w:r>
          </w:p>
        </w:tc>
        <w:tc>
          <w:tcPr>
            <w:tcW w:w="1122" w:type="pct"/>
            <w:shd w:val="clear" w:color="auto" w:fill="auto"/>
            <w:tcMar>
              <w:top w:w="0" w:type="dxa"/>
              <w:bottom w:w="0" w:type="dxa"/>
            </w:tcMar>
            <w:vAlign w:val="center"/>
          </w:tcPr>
          <w:p w14:paraId="0BD00FB4"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47F72ACE"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70320670"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226,029,814,659</w:t>
            </w:r>
          </w:p>
        </w:tc>
        <w:tc>
          <w:tcPr>
            <w:tcW w:w="477" w:type="pct"/>
            <w:shd w:val="clear" w:color="auto" w:fill="auto"/>
            <w:tcMar>
              <w:top w:w="0" w:type="dxa"/>
              <w:bottom w:w="0" w:type="dxa"/>
            </w:tcMar>
            <w:vAlign w:val="center"/>
          </w:tcPr>
          <w:p w14:paraId="4A2DDC3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386786B6" w14:textId="77777777" w:rsidTr="00C52280">
        <w:tc>
          <w:tcPr>
            <w:tcW w:w="316" w:type="pct"/>
            <w:shd w:val="clear" w:color="auto" w:fill="auto"/>
            <w:tcMar>
              <w:top w:w="0" w:type="dxa"/>
              <w:bottom w:w="0" w:type="dxa"/>
            </w:tcMar>
            <w:vAlign w:val="center"/>
          </w:tcPr>
          <w:p w14:paraId="516558AF"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w:t>
            </w:r>
          </w:p>
        </w:tc>
        <w:tc>
          <w:tcPr>
            <w:tcW w:w="1849" w:type="pct"/>
            <w:shd w:val="clear" w:color="auto" w:fill="auto"/>
            <w:tcMar>
              <w:top w:w="0" w:type="dxa"/>
              <w:bottom w:w="0" w:type="dxa"/>
            </w:tcMar>
            <w:vAlign w:val="center"/>
          </w:tcPr>
          <w:p w14:paraId="38080FC3"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Appropriation for investment and development funds</w:t>
            </w:r>
          </w:p>
        </w:tc>
        <w:tc>
          <w:tcPr>
            <w:tcW w:w="1122" w:type="pct"/>
            <w:shd w:val="clear" w:color="auto" w:fill="auto"/>
            <w:tcMar>
              <w:top w:w="0" w:type="dxa"/>
              <w:bottom w:w="0" w:type="dxa"/>
            </w:tcMar>
            <w:vAlign w:val="center"/>
          </w:tcPr>
          <w:p w14:paraId="28516BAE"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569CC2C2"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56E8706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477" w:type="pct"/>
            <w:shd w:val="clear" w:color="auto" w:fill="auto"/>
            <w:tcMar>
              <w:top w:w="0" w:type="dxa"/>
              <w:bottom w:w="0" w:type="dxa"/>
            </w:tcMar>
            <w:vAlign w:val="center"/>
          </w:tcPr>
          <w:p w14:paraId="2E2E11A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3BBDE525" w14:textId="77777777" w:rsidTr="00C52280">
        <w:tc>
          <w:tcPr>
            <w:tcW w:w="316" w:type="pct"/>
            <w:shd w:val="clear" w:color="auto" w:fill="auto"/>
            <w:tcMar>
              <w:top w:w="0" w:type="dxa"/>
              <w:bottom w:w="0" w:type="dxa"/>
            </w:tcMar>
            <w:vAlign w:val="center"/>
          </w:tcPr>
          <w:p w14:paraId="76A7CE8D"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w:t>
            </w:r>
          </w:p>
        </w:tc>
        <w:tc>
          <w:tcPr>
            <w:tcW w:w="1849" w:type="pct"/>
            <w:shd w:val="clear" w:color="auto" w:fill="auto"/>
            <w:tcMar>
              <w:top w:w="0" w:type="dxa"/>
              <w:bottom w:w="0" w:type="dxa"/>
            </w:tcMar>
            <w:vAlign w:val="center"/>
          </w:tcPr>
          <w:p w14:paraId="1EAC00A5"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Appropriation for bonus and welfare funds</w:t>
            </w:r>
          </w:p>
        </w:tc>
        <w:tc>
          <w:tcPr>
            <w:tcW w:w="1122" w:type="pct"/>
            <w:shd w:val="clear" w:color="auto" w:fill="auto"/>
            <w:tcMar>
              <w:top w:w="0" w:type="dxa"/>
              <w:bottom w:w="0" w:type="dxa"/>
            </w:tcMar>
            <w:vAlign w:val="center"/>
          </w:tcPr>
          <w:p w14:paraId="47A17283"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17B2EAC0"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45E4957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20,000,000,000</w:t>
            </w:r>
          </w:p>
        </w:tc>
        <w:tc>
          <w:tcPr>
            <w:tcW w:w="477" w:type="pct"/>
            <w:shd w:val="clear" w:color="auto" w:fill="auto"/>
            <w:tcMar>
              <w:top w:w="0" w:type="dxa"/>
              <w:bottom w:w="0" w:type="dxa"/>
            </w:tcMar>
            <w:vAlign w:val="center"/>
          </w:tcPr>
          <w:p w14:paraId="6D46447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27AEED49" w14:textId="77777777" w:rsidTr="00C52280">
        <w:tc>
          <w:tcPr>
            <w:tcW w:w="316" w:type="pct"/>
            <w:shd w:val="clear" w:color="auto" w:fill="auto"/>
            <w:tcMar>
              <w:top w:w="0" w:type="dxa"/>
              <w:bottom w:w="0" w:type="dxa"/>
            </w:tcMar>
            <w:vAlign w:val="center"/>
          </w:tcPr>
          <w:p w14:paraId="7F0C9AC6"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w:t>
            </w:r>
          </w:p>
        </w:tc>
        <w:tc>
          <w:tcPr>
            <w:tcW w:w="1849" w:type="pct"/>
            <w:shd w:val="clear" w:color="auto" w:fill="auto"/>
            <w:tcMar>
              <w:top w:w="0" w:type="dxa"/>
              <w:bottom w:w="0" w:type="dxa"/>
            </w:tcMar>
            <w:vAlign w:val="center"/>
          </w:tcPr>
          <w:p w14:paraId="219A9212"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The remaining profit after appropriation for funds 2023 [(1)-(2)-(3)]</w:t>
            </w:r>
          </w:p>
        </w:tc>
        <w:tc>
          <w:tcPr>
            <w:tcW w:w="1122" w:type="pct"/>
            <w:shd w:val="clear" w:color="auto" w:fill="auto"/>
            <w:tcMar>
              <w:top w:w="0" w:type="dxa"/>
              <w:bottom w:w="0" w:type="dxa"/>
            </w:tcMar>
            <w:vAlign w:val="center"/>
          </w:tcPr>
          <w:p w14:paraId="41E284FF"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2A14F6EA"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0151456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206,029,814,659</w:t>
            </w:r>
          </w:p>
        </w:tc>
        <w:tc>
          <w:tcPr>
            <w:tcW w:w="477" w:type="pct"/>
            <w:shd w:val="clear" w:color="auto" w:fill="auto"/>
            <w:tcMar>
              <w:top w:w="0" w:type="dxa"/>
              <w:bottom w:w="0" w:type="dxa"/>
            </w:tcMar>
            <w:vAlign w:val="center"/>
          </w:tcPr>
          <w:p w14:paraId="25E0447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123E47BE" w14:textId="77777777" w:rsidTr="00C52280">
        <w:tc>
          <w:tcPr>
            <w:tcW w:w="316" w:type="pct"/>
            <w:shd w:val="clear" w:color="auto" w:fill="auto"/>
            <w:tcMar>
              <w:top w:w="0" w:type="dxa"/>
              <w:bottom w:w="0" w:type="dxa"/>
            </w:tcMar>
            <w:vAlign w:val="center"/>
          </w:tcPr>
          <w:p w14:paraId="7CD1D202"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w:t>
            </w:r>
          </w:p>
        </w:tc>
        <w:tc>
          <w:tcPr>
            <w:tcW w:w="1849" w:type="pct"/>
            <w:shd w:val="clear" w:color="auto" w:fill="auto"/>
            <w:tcMar>
              <w:top w:w="0" w:type="dxa"/>
              <w:bottom w:w="0" w:type="dxa"/>
            </w:tcMar>
            <w:vAlign w:val="center"/>
          </w:tcPr>
          <w:p w14:paraId="1872A009"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Accumulated undistributed profit after tax of previous years</w:t>
            </w:r>
          </w:p>
        </w:tc>
        <w:tc>
          <w:tcPr>
            <w:tcW w:w="1122" w:type="pct"/>
            <w:shd w:val="clear" w:color="auto" w:fill="auto"/>
            <w:tcMar>
              <w:top w:w="0" w:type="dxa"/>
              <w:bottom w:w="0" w:type="dxa"/>
            </w:tcMar>
            <w:vAlign w:val="center"/>
          </w:tcPr>
          <w:p w14:paraId="00723A89"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393C5543"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5A9FCDB8"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119,808,850,044</w:t>
            </w:r>
          </w:p>
        </w:tc>
        <w:tc>
          <w:tcPr>
            <w:tcW w:w="477" w:type="pct"/>
            <w:shd w:val="clear" w:color="auto" w:fill="auto"/>
            <w:tcMar>
              <w:top w:w="0" w:type="dxa"/>
              <w:bottom w:w="0" w:type="dxa"/>
            </w:tcMar>
            <w:vAlign w:val="center"/>
          </w:tcPr>
          <w:p w14:paraId="3FA4041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55E3EAEC" w14:textId="77777777" w:rsidTr="00C52280">
        <w:tc>
          <w:tcPr>
            <w:tcW w:w="316" w:type="pct"/>
            <w:shd w:val="clear" w:color="auto" w:fill="auto"/>
            <w:tcMar>
              <w:top w:w="0" w:type="dxa"/>
              <w:bottom w:w="0" w:type="dxa"/>
            </w:tcMar>
            <w:vAlign w:val="center"/>
          </w:tcPr>
          <w:p w14:paraId="7A5305E2"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6</w:t>
            </w:r>
          </w:p>
        </w:tc>
        <w:tc>
          <w:tcPr>
            <w:tcW w:w="1849" w:type="pct"/>
            <w:shd w:val="clear" w:color="auto" w:fill="auto"/>
            <w:tcMar>
              <w:top w:w="0" w:type="dxa"/>
              <w:bottom w:w="0" w:type="dxa"/>
            </w:tcMar>
            <w:vAlign w:val="center"/>
          </w:tcPr>
          <w:p w14:paraId="5E15A257"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The remaining profit after tax after appropriation for accumulated funds transferred from the previous year [(4)+(5)]</w:t>
            </w:r>
          </w:p>
        </w:tc>
        <w:tc>
          <w:tcPr>
            <w:tcW w:w="1122" w:type="pct"/>
            <w:shd w:val="clear" w:color="auto" w:fill="auto"/>
            <w:tcMar>
              <w:top w:w="0" w:type="dxa"/>
              <w:bottom w:w="0" w:type="dxa"/>
            </w:tcMar>
            <w:vAlign w:val="center"/>
          </w:tcPr>
          <w:p w14:paraId="7F01CB87"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02E9F7C7"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64D338F9"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325,838,664,703</w:t>
            </w:r>
          </w:p>
        </w:tc>
        <w:tc>
          <w:tcPr>
            <w:tcW w:w="477" w:type="pct"/>
            <w:shd w:val="clear" w:color="auto" w:fill="auto"/>
            <w:tcMar>
              <w:top w:w="0" w:type="dxa"/>
              <w:bottom w:w="0" w:type="dxa"/>
            </w:tcMar>
            <w:vAlign w:val="center"/>
          </w:tcPr>
          <w:p w14:paraId="163DA4B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7504F4E8" w14:textId="77777777" w:rsidTr="00C52280">
        <w:tc>
          <w:tcPr>
            <w:tcW w:w="316" w:type="pct"/>
            <w:shd w:val="clear" w:color="auto" w:fill="auto"/>
            <w:tcMar>
              <w:top w:w="0" w:type="dxa"/>
              <w:bottom w:w="0" w:type="dxa"/>
            </w:tcMar>
            <w:vAlign w:val="center"/>
          </w:tcPr>
          <w:p w14:paraId="23B84AA9"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7</w:t>
            </w:r>
          </w:p>
        </w:tc>
        <w:tc>
          <w:tcPr>
            <w:tcW w:w="1849" w:type="pct"/>
            <w:shd w:val="clear" w:color="auto" w:fill="auto"/>
            <w:tcMar>
              <w:top w:w="0" w:type="dxa"/>
              <w:bottom w:w="0" w:type="dxa"/>
            </w:tcMar>
            <w:vAlign w:val="center"/>
          </w:tcPr>
          <w:p w14:paraId="7014F096"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Total number of shares</w:t>
            </w:r>
          </w:p>
        </w:tc>
        <w:tc>
          <w:tcPr>
            <w:tcW w:w="1122" w:type="pct"/>
            <w:shd w:val="clear" w:color="auto" w:fill="auto"/>
            <w:tcMar>
              <w:top w:w="0" w:type="dxa"/>
              <w:bottom w:w="0" w:type="dxa"/>
            </w:tcMar>
            <w:vAlign w:val="center"/>
          </w:tcPr>
          <w:p w14:paraId="6E5E975C"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3DE1A1C7"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140824C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358,507,825</w:t>
            </w:r>
          </w:p>
        </w:tc>
        <w:tc>
          <w:tcPr>
            <w:tcW w:w="477" w:type="pct"/>
            <w:shd w:val="clear" w:color="auto" w:fill="auto"/>
            <w:tcMar>
              <w:top w:w="0" w:type="dxa"/>
              <w:bottom w:w="0" w:type="dxa"/>
            </w:tcMar>
            <w:vAlign w:val="center"/>
          </w:tcPr>
          <w:p w14:paraId="1778168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shares</w:t>
            </w:r>
          </w:p>
        </w:tc>
      </w:tr>
      <w:tr w:rsidR="006E7806" w:rsidRPr="00C52280" w14:paraId="6F7CCC84" w14:textId="77777777" w:rsidTr="00C52280">
        <w:tc>
          <w:tcPr>
            <w:tcW w:w="316" w:type="pct"/>
            <w:shd w:val="clear" w:color="auto" w:fill="auto"/>
            <w:tcMar>
              <w:top w:w="0" w:type="dxa"/>
              <w:bottom w:w="0" w:type="dxa"/>
            </w:tcMar>
            <w:vAlign w:val="center"/>
          </w:tcPr>
          <w:p w14:paraId="5A346D8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a</w:t>
            </w:r>
          </w:p>
        </w:tc>
        <w:tc>
          <w:tcPr>
            <w:tcW w:w="1849" w:type="pct"/>
            <w:shd w:val="clear" w:color="auto" w:fill="auto"/>
            <w:tcMar>
              <w:top w:w="0" w:type="dxa"/>
              <w:bottom w:w="0" w:type="dxa"/>
            </w:tcMar>
            <w:vAlign w:val="center"/>
          </w:tcPr>
          <w:p w14:paraId="2859C635"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Treasury share</w:t>
            </w:r>
          </w:p>
        </w:tc>
        <w:tc>
          <w:tcPr>
            <w:tcW w:w="1122" w:type="pct"/>
            <w:shd w:val="clear" w:color="auto" w:fill="auto"/>
            <w:tcMar>
              <w:top w:w="0" w:type="dxa"/>
              <w:bottom w:w="0" w:type="dxa"/>
            </w:tcMar>
            <w:vAlign w:val="center"/>
          </w:tcPr>
          <w:p w14:paraId="171598A7"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328DF764"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0B587E10"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337,800</w:t>
            </w:r>
          </w:p>
        </w:tc>
        <w:tc>
          <w:tcPr>
            <w:tcW w:w="477" w:type="pct"/>
            <w:shd w:val="clear" w:color="auto" w:fill="auto"/>
            <w:tcMar>
              <w:top w:w="0" w:type="dxa"/>
              <w:bottom w:w="0" w:type="dxa"/>
            </w:tcMar>
            <w:vAlign w:val="center"/>
          </w:tcPr>
          <w:p w14:paraId="5CE8F145"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shares</w:t>
            </w:r>
          </w:p>
        </w:tc>
      </w:tr>
      <w:tr w:rsidR="006E7806" w:rsidRPr="00C52280" w14:paraId="0F1D545A" w14:textId="77777777" w:rsidTr="00C52280">
        <w:tc>
          <w:tcPr>
            <w:tcW w:w="316" w:type="pct"/>
            <w:shd w:val="clear" w:color="auto" w:fill="auto"/>
            <w:tcMar>
              <w:top w:w="0" w:type="dxa"/>
              <w:bottom w:w="0" w:type="dxa"/>
            </w:tcMar>
            <w:vAlign w:val="center"/>
          </w:tcPr>
          <w:p w14:paraId="21BEC5BD"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b</w:t>
            </w:r>
          </w:p>
        </w:tc>
        <w:tc>
          <w:tcPr>
            <w:tcW w:w="1849" w:type="pct"/>
            <w:shd w:val="clear" w:color="auto" w:fill="auto"/>
            <w:tcMar>
              <w:top w:w="0" w:type="dxa"/>
              <w:bottom w:w="0" w:type="dxa"/>
            </w:tcMar>
            <w:vAlign w:val="center"/>
          </w:tcPr>
          <w:p w14:paraId="2EB498C9"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Outstanding shares</w:t>
            </w:r>
          </w:p>
        </w:tc>
        <w:tc>
          <w:tcPr>
            <w:tcW w:w="1122" w:type="pct"/>
            <w:shd w:val="clear" w:color="auto" w:fill="auto"/>
            <w:tcMar>
              <w:top w:w="0" w:type="dxa"/>
              <w:bottom w:w="0" w:type="dxa"/>
            </w:tcMar>
            <w:vAlign w:val="center"/>
          </w:tcPr>
          <w:p w14:paraId="6156288A"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415E27F3"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542F6BB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358,170,025</w:t>
            </w:r>
          </w:p>
        </w:tc>
        <w:tc>
          <w:tcPr>
            <w:tcW w:w="477" w:type="pct"/>
            <w:shd w:val="clear" w:color="auto" w:fill="auto"/>
            <w:tcMar>
              <w:top w:w="0" w:type="dxa"/>
              <w:bottom w:w="0" w:type="dxa"/>
            </w:tcMar>
            <w:vAlign w:val="center"/>
          </w:tcPr>
          <w:p w14:paraId="3A45496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shares</w:t>
            </w:r>
          </w:p>
        </w:tc>
      </w:tr>
      <w:tr w:rsidR="006E7806" w:rsidRPr="00C52280" w14:paraId="7DAD039C" w14:textId="77777777" w:rsidTr="00C52280">
        <w:tc>
          <w:tcPr>
            <w:tcW w:w="316" w:type="pct"/>
            <w:shd w:val="clear" w:color="auto" w:fill="auto"/>
            <w:tcMar>
              <w:top w:w="0" w:type="dxa"/>
              <w:bottom w:w="0" w:type="dxa"/>
            </w:tcMar>
            <w:vAlign w:val="center"/>
          </w:tcPr>
          <w:p w14:paraId="7339BE0F"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8</w:t>
            </w:r>
          </w:p>
        </w:tc>
        <w:tc>
          <w:tcPr>
            <w:tcW w:w="1849" w:type="pct"/>
            <w:shd w:val="clear" w:color="auto" w:fill="auto"/>
            <w:tcMar>
              <w:top w:w="0" w:type="dxa"/>
              <w:bottom w:w="0" w:type="dxa"/>
            </w:tcMar>
            <w:vAlign w:val="center"/>
          </w:tcPr>
          <w:p w14:paraId="093D3C97"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Dividend</w:t>
            </w:r>
          </w:p>
        </w:tc>
        <w:tc>
          <w:tcPr>
            <w:tcW w:w="1122" w:type="pct"/>
            <w:shd w:val="clear" w:color="auto" w:fill="auto"/>
            <w:tcMar>
              <w:top w:w="0" w:type="dxa"/>
              <w:bottom w:w="0" w:type="dxa"/>
            </w:tcMar>
            <w:vAlign w:val="center"/>
          </w:tcPr>
          <w:p w14:paraId="0D4A192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w:t>
            </w:r>
          </w:p>
        </w:tc>
        <w:tc>
          <w:tcPr>
            <w:tcW w:w="279" w:type="pct"/>
            <w:shd w:val="clear" w:color="auto" w:fill="auto"/>
            <w:tcMar>
              <w:top w:w="0" w:type="dxa"/>
              <w:bottom w:w="0" w:type="dxa"/>
            </w:tcMar>
            <w:vAlign w:val="center"/>
          </w:tcPr>
          <w:p w14:paraId="6EB33AF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w:t>
            </w:r>
          </w:p>
        </w:tc>
        <w:tc>
          <w:tcPr>
            <w:tcW w:w="958" w:type="pct"/>
            <w:shd w:val="clear" w:color="auto" w:fill="auto"/>
            <w:tcMar>
              <w:top w:w="0" w:type="dxa"/>
              <w:bottom w:w="0" w:type="dxa"/>
            </w:tcMar>
            <w:vAlign w:val="center"/>
          </w:tcPr>
          <w:p w14:paraId="6CE9FB1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322,353,020,000</w:t>
            </w:r>
          </w:p>
        </w:tc>
        <w:tc>
          <w:tcPr>
            <w:tcW w:w="477" w:type="pct"/>
            <w:shd w:val="clear" w:color="auto" w:fill="auto"/>
            <w:tcMar>
              <w:top w:w="0" w:type="dxa"/>
              <w:bottom w:w="0" w:type="dxa"/>
            </w:tcMar>
            <w:vAlign w:val="center"/>
          </w:tcPr>
          <w:p w14:paraId="675331D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16303E34" w14:textId="77777777" w:rsidTr="00C52280">
        <w:tc>
          <w:tcPr>
            <w:tcW w:w="316" w:type="pct"/>
            <w:shd w:val="clear" w:color="auto" w:fill="auto"/>
            <w:tcMar>
              <w:top w:w="0" w:type="dxa"/>
              <w:bottom w:w="0" w:type="dxa"/>
            </w:tcMar>
            <w:vAlign w:val="center"/>
          </w:tcPr>
          <w:p w14:paraId="71708270"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a</w:t>
            </w:r>
          </w:p>
        </w:tc>
        <w:tc>
          <w:tcPr>
            <w:tcW w:w="1849" w:type="pct"/>
            <w:shd w:val="clear" w:color="auto" w:fill="auto"/>
            <w:tcMar>
              <w:top w:w="0" w:type="dxa"/>
              <w:bottom w:w="0" w:type="dxa"/>
            </w:tcMar>
            <w:vAlign w:val="center"/>
          </w:tcPr>
          <w:p w14:paraId="0448EBD1"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In cash</w:t>
            </w:r>
          </w:p>
        </w:tc>
        <w:tc>
          <w:tcPr>
            <w:tcW w:w="1122" w:type="pct"/>
            <w:vMerge w:val="restart"/>
            <w:shd w:val="clear" w:color="auto" w:fill="auto"/>
            <w:tcMar>
              <w:top w:w="0" w:type="dxa"/>
              <w:bottom w:w="0" w:type="dxa"/>
            </w:tcMar>
            <w:vAlign w:val="center"/>
          </w:tcPr>
          <w:p w14:paraId="7C8B5E6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In cash and/or by shares</w:t>
            </w:r>
          </w:p>
        </w:tc>
        <w:tc>
          <w:tcPr>
            <w:tcW w:w="279" w:type="pct"/>
            <w:shd w:val="clear" w:color="auto" w:fill="auto"/>
            <w:tcMar>
              <w:top w:w="0" w:type="dxa"/>
              <w:bottom w:w="0" w:type="dxa"/>
            </w:tcMar>
            <w:vAlign w:val="center"/>
          </w:tcPr>
          <w:p w14:paraId="09B19F71"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7E3E55A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477" w:type="pct"/>
            <w:shd w:val="clear" w:color="auto" w:fill="auto"/>
            <w:tcMar>
              <w:top w:w="0" w:type="dxa"/>
              <w:bottom w:w="0" w:type="dxa"/>
            </w:tcMar>
            <w:vAlign w:val="center"/>
          </w:tcPr>
          <w:p w14:paraId="38685922"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540514A7" w14:textId="77777777" w:rsidTr="00C52280">
        <w:tc>
          <w:tcPr>
            <w:tcW w:w="316" w:type="pct"/>
            <w:shd w:val="clear" w:color="auto" w:fill="auto"/>
            <w:tcMar>
              <w:top w:w="0" w:type="dxa"/>
              <w:bottom w:w="0" w:type="dxa"/>
            </w:tcMar>
            <w:vAlign w:val="center"/>
          </w:tcPr>
          <w:p w14:paraId="53CF03F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b</w:t>
            </w:r>
          </w:p>
        </w:tc>
        <w:tc>
          <w:tcPr>
            <w:tcW w:w="1849" w:type="pct"/>
            <w:shd w:val="clear" w:color="auto" w:fill="auto"/>
            <w:tcMar>
              <w:top w:w="0" w:type="dxa"/>
              <w:bottom w:w="0" w:type="dxa"/>
            </w:tcMar>
            <w:vAlign w:val="center"/>
          </w:tcPr>
          <w:p w14:paraId="47D8FC77"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By shares</w:t>
            </w:r>
          </w:p>
        </w:tc>
        <w:tc>
          <w:tcPr>
            <w:tcW w:w="1122" w:type="pct"/>
            <w:vMerge/>
            <w:shd w:val="clear" w:color="auto" w:fill="auto"/>
            <w:tcMar>
              <w:top w:w="0" w:type="dxa"/>
              <w:bottom w:w="0" w:type="dxa"/>
            </w:tcMar>
            <w:vAlign w:val="center"/>
          </w:tcPr>
          <w:p w14:paraId="6A5A4F39"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279" w:type="pct"/>
            <w:shd w:val="clear" w:color="auto" w:fill="auto"/>
            <w:tcMar>
              <w:top w:w="0" w:type="dxa"/>
              <w:bottom w:w="0" w:type="dxa"/>
            </w:tcMar>
            <w:vAlign w:val="center"/>
          </w:tcPr>
          <w:p w14:paraId="259E306D"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w:t>
            </w:r>
          </w:p>
        </w:tc>
        <w:tc>
          <w:tcPr>
            <w:tcW w:w="958" w:type="pct"/>
            <w:shd w:val="clear" w:color="auto" w:fill="auto"/>
            <w:tcMar>
              <w:top w:w="0" w:type="dxa"/>
              <w:bottom w:w="0" w:type="dxa"/>
            </w:tcMar>
            <w:vAlign w:val="center"/>
          </w:tcPr>
          <w:p w14:paraId="40B47C98"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322,353,020,000</w:t>
            </w:r>
          </w:p>
        </w:tc>
        <w:tc>
          <w:tcPr>
            <w:tcW w:w="477" w:type="pct"/>
            <w:shd w:val="clear" w:color="auto" w:fill="auto"/>
            <w:tcMar>
              <w:top w:w="0" w:type="dxa"/>
              <w:bottom w:w="0" w:type="dxa"/>
            </w:tcMar>
            <w:vAlign w:val="center"/>
          </w:tcPr>
          <w:p w14:paraId="671CB97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408C454C" w14:textId="77777777" w:rsidTr="00C52280">
        <w:tc>
          <w:tcPr>
            <w:tcW w:w="316" w:type="pct"/>
            <w:shd w:val="clear" w:color="auto" w:fill="auto"/>
            <w:tcMar>
              <w:top w:w="0" w:type="dxa"/>
              <w:bottom w:w="0" w:type="dxa"/>
            </w:tcMar>
            <w:vAlign w:val="center"/>
          </w:tcPr>
          <w:p w14:paraId="61F62A80"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w:t>
            </w:r>
          </w:p>
        </w:tc>
        <w:tc>
          <w:tcPr>
            <w:tcW w:w="1849" w:type="pct"/>
            <w:shd w:val="clear" w:color="auto" w:fill="auto"/>
            <w:tcMar>
              <w:top w:w="0" w:type="dxa"/>
              <w:bottom w:w="0" w:type="dxa"/>
            </w:tcMar>
            <w:vAlign w:val="center"/>
          </w:tcPr>
          <w:p w14:paraId="3BC9568E"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 xml:space="preserve">Remuneration of the Board of Directors and the Audit Committee </w:t>
            </w:r>
            <w:r w:rsidRPr="00C52280">
              <w:rPr>
                <w:rFonts w:ascii="Arial" w:hAnsi="Arial" w:cs="Arial"/>
                <w:color w:val="010000"/>
                <w:sz w:val="20"/>
              </w:rPr>
              <w:lastRenderedPageBreak/>
              <w:t>2023</w:t>
            </w:r>
          </w:p>
        </w:tc>
        <w:tc>
          <w:tcPr>
            <w:tcW w:w="1122" w:type="pct"/>
            <w:shd w:val="clear" w:color="auto" w:fill="auto"/>
            <w:tcMar>
              <w:top w:w="0" w:type="dxa"/>
              <w:bottom w:w="0" w:type="dxa"/>
            </w:tcMar>
            <w:vAlign w:val="center"/>
          </w:tcPr>
          <w:p w14:paraId="360A483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lastRenderedPageBreak/>
              <w:t>VND 10,000,000,000 at maximum</w:t>
            </w:r>
          </w:p>
        </w:tc>
        <w:tc>
          <w:tcPr>
            <w:tcW w:w="279" w:type="pct"/>
            <w:shd w:val="clear" w:color="auto" w:fill="auto"/>
            <w:tcMar>
              <w:top w:w="0" w:type="dxa"/>
              <w:bottom w:w="0" w:type="dxa"/>
            </w:tcMar>
            <w:vAlign w:val="center"/>
          </w:tcPr>
          <w:p w14:paraId="4380925C"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367BB85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1,800,000,000</w:t>
            </w:r>
          </w:p>
        </w:tc>
        <w:tc>
          <w:tcPr>
            <w:tcW w:w="477" w:type="pct"/>
            <w:shd w:val="clear" w:color="auto" w:fill="auto"/>
            <w:tcMar>
              <w:top w:w="0" w:type="dxa"/>
              <w:bottom w:w="0" w:type="dxa"/>
            </w:tcMar>
            <w:vAlign w:val="center"/>
          </w:tcPr>
          <w:p w14:paraId="435C21DF"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r w:rsidR="006E7806" w:rsidRPr="00C52280" w14:paraId="4194ECC0" w14:textId="77777777" w:rsidTr="00C52280">
        <w:tc>
          <w:tcPr>
            <w:tcW w:w="316" w:type="pct"/>
            <w:shd w:val="clear" w:color="auto" w:fill="auto"/>
            <w:tcMar>
              <w:top w:w="0" w:type="dxa"/>
              <w:bottom w:w="0" w:type="dxa"/>
            </w:tcMar>
            <w:vAlign w:val="center"/>
          </w:tcPr>
          <w:p w14:paraId="604B53E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lastRenderedPageBreak/>
              <w:t>10</w:t>
            </w:r>
          </w:p>
        </w:tc>
        <w:tc>
          <w:tcPr>
            <w:tcW w:w="1849" w:type="pct"/>
            <w:shd w:val="clear" w:color="auto" w:fill="auto"/>
            <w:tcMar>
              <w:top w:w="0" w:type="dxa"/>
              <w:bottom w:w="0" w:type="dxa"/>
            </w:tcMar>
            <w:vAlign w:val="center"/>
          </w:tcPr>
          <w:p w14:paraId="44DF3A02"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Remaining profit after tax after appropriation for accumulated funds, dividend payment &amp; remuneration for the Board of Directors and the Audit Committee transferred from the previous year [(6)-(8)-(9)]</w:t>
            </w:r>
          </w:p>
        </w:tc>
        <w:tc>
          <w:tcPr>
            <w:tcW w:w="1122" w:type="pct"/>
            <w:shd w:val="clear" w:color="auto" w:fill="auto"/>
            <w:tcMar>
              <w:top w:w="0" w:type="dxa"/>
              <w:bottom w:w="0" w:type="dxa"/>
            </w:tcMar>
            <w:vAlign w:val="center"/>
          </w:tcPr>
          <w:p w14:paraId="42C13E2F"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279" w:type="pct"/>
            <w:shd w:val="clear" w:color="auto" w:fill="auto"/>
            <w:tcMar>
              <w:top w:w="0" w:type="dxa"/>
              <w:bottom w:w="0" w:type="dxa"/>
            </w:tcMar>
            <w:vAlign w:val="center"/>
          </w:tcPr>
          <w:p w14:paraId="0A7B7AA7" w14:textId="77777777" w:rsidR="006E7806" w:rsidRPr="00C52280" w:rsidRDefault="006E7806" w:rsidP="00C52280">
            <w:pPr>
              <w:tabs>
                <w:tab w:val="left" w:pos="432"/>
              </w:tabs>
              <w:spacing w:after="120" w:line="360" w:lineRule="auto"/>
              <w:jc w:val="center"/>
              <w:rPr>
                <w:rFonts w:ascii="Arial" w:eastAsia="Arial" w:hAnsi="Arial" w:cs="Arial"/>
                <w:color w:val="010000"/>
                <w:sz w:val="20"/>
                <w:szCs w:val="20"/>
              </w:rPr>
            </w:pPr>
          </w:p>
        </w:tc>
        <w:tc>
          <w:tcPr>
            <w:tcW w:w="958" w:type="pct"/>
            <w:shd w:val="clear" w:color="auto" w:fill="auto"/>
            <w:tcMar>
              <w:top w:w="0" w:type="dxa"/>
              <w:bottom w:w="0" w:type="dxa"/>
            </w:tcMar>
            <w:vAlign w:val="center"/>
          </w:tcPr>
          <w:p w14:paraId="3E1D0986"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1,685,644,703</w:t>
            </w:r>
          </w:p>
        </w:tc>
        <w:tc>
          <w:tcPr>
            <w:tcW w:w="477" w:type="pct"/>
            <w:shd w:val="clear" w:color="auto" w:fill="auto"/>
            <w:tcMar>
              <w:top w:w="0" w:type="dxa"/>
              <w:bottom w:w="0" w:type="dxa"/>
            </w:tcMar>
            <w:vAlign w:val="center"/>
          </w:tcPr>
          <w:p w14:paraId="7B031DA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VND</w:t>
            </w:r>
          </w:p>
        </w:tc>
      </w:tr>
    </w:tbl>
    <w:p w14:paraId="094B6961" w14:textId="361124E2"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5. Approve the Proposal of the Board of Directors on the remuneration report o</w:t>
      </w:r>
      <w:r w:rsidR="007639F7">
        <w:rPr>
          <w:rFonts w:ascii="Arial" w:hAnsi="Arial" w:cs="Arial"/>
          <w:color w:val="010000"/>
          <w:sz w:val="20"/>
        </w:rPr>
        <w:t>f the Board of Directors and</w:t>
      </w:r>
      <w:r w:rsidRPr="00C52280">
        <w:rPr>
          <w:rFonts w:ascii="Arial" w:hAnsi="Arial" w:cs="Arial"/>
          <w:color w:val="010000"/>
          <w:sz w:val="20"/>
        </w:rPr>
        <w:t xml:space="preserve"> Audit Committee 2023</w:t>
      </w:r>
    </w:p>
    <w:p w14:paraId="2D1669BC"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6. Approve the Proposal of the Board of Directors on the business plan and dividend payment plan 2024.</w:t>
      </w:r>
    </w:p>
    <w:p w14:paraId="4FE30D50" w14:textId="77777777" w:rsidR="006E7806" w:rsidRPr="00C52280" w:rsidRDefault="008D2A6C" w:rsidP="00C52280">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2280">
        <w:rPr>
          <w:rFonts w:ascii="Arial" w:hAnsi="Arial" w:cs="Arial"/>
          <w:color w:val="010000"/>
          <w:sz w:val="20"/>
        </w:rPr>
        <w:t>Unit: Billion VND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
        <w:gridCol w:w="1807"/>
        <w:gridCol w:w="1032"/>
        <w:gridCol w:w="1188"/>
        <w:gridCol w:w="1032"/>
        <w:gridCol w:w="1188"/>
        <w:gridCol w:w="1032"/>
        <w:gridCol w:w="1188"/>
      </w:tblGrid>
      <w:tr w:rsidR="006E7806" w:rsidRPr="00C52280" w14:paraId="7EFDD10F" w14:textId="77777777" w:rsidTr="00C52280">
        <w:tc>
          <w:tcPr>
            <w:tcW w:w="305" w:type="pct"/>
            <w:vMerge w:val="restart"/>
            <w:shd w:val="clear" w:color="auto" w:fill="auto"/>
            <w:tcMar>
              <w:top w:w="0" w:type="dxa"/>
              <w:bottom w:w="0" w:type="dxa"/>
            </w:tcMar>
            <w:vAlign w:val="center"/>
          </w:tcPr>
          <w:p w14:paraId="5482A2DC"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No.</w:t>
            </w:r>
          </w:p>
        </w:tc>
        <w:tc>
          <w:tcPr>
            <w:tcW w:w="1002" w:type="pct"/>
            <w:vMerge w:val="restart"/>
            <w:shd w:val="clear" w:color="auto" w:fill="auto"/>
            <w:tcMar>
              <w:top w:w="0" w:type="dxa"/>
              <w:bottom w:w="0" w:type="dxa"/>
            </w:tcMar>
            <w:vAlign w:val="center"/>
          </w:tcPr>
          <w:p w14:paraId="32AEA1DF"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Main targets for business plan and dividend payment plan 2024</w:t>
            </w:r>
          </w:p>
        </w:tc>
        <w:tc>
          <w:tcPr>
            <w:tcW w:w="1231" w:type="pct"/>
            <w:gridSpan w:val="2"/>
            <w:shd w:val="clear" w:color="auto" w:fill="auto"/>
            <w:tcMar>
              <w:top w:w="0" w:type="dxa"/>
              <w:bottom w:w="0" w:type="dxa"/>
            </w:tcMar>
            <w:vAlign w:val="center"/>
          </w:tcPr>
          <w:p w14:paraId="7084BA9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Results 2023</w:t>
            </w:r>
          </w:p>
        </w:tc>
        <w:tc>
          <w:tcPr>
            <w:tcW w:w="1231" w:type="pct"/>
            <w:gridSpan w:val="2"/>
            <w:shd w:val="clear" w:color="auto" w:fill="auto"/>
            <w:tcMar>
              <w:top w:w="0" w:type="dxa"/>
              <w:bottom w:w="0" w:type="dxa"/>
            </w:tcMar>
            <w:vAlign w:val="center"/>
          </w:tcPr>
          <w:p w14:paraId="2EF6C66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 2024</w:t>
            </w:r>
          </w:p>
        </w:tc>
        <w:tc>
          <w:tcPr>
            <w:tcW w:w="1231" w:type="pct"/>
            <w:gridSpan w:val="2"/>
            <w:shd w:val="clear" w:color="auto" w:fill="auto"/>
            <w:tcMar>
              <w:top w:w="0" w:type="dxa"/>
              <w:bottom w:w="0" w:type="dxa"/>
            </w:tcMar>
            <w:vAlign w:val="center"/>
          </w:tcPr>
          <w:p w14:paraId="4C2693B8"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Plan 2024 compared to Results 2023 (%)</w:t>
            </w:r>
          </w:p>
        </w:tc>
      </w:tr>
      <w:tr w:rsidR="006E7806" w:rsidRPr="00C52280" w14:paraId="1C8C113A" w14:textId="77777777" w:rsidTr="00C52280">
        <w:tc>
          <w:tcPr>
            <w:tcW w:w="305" w:type="pct"/>
            <w:vMerge/>
            <w:shd w:val="clear" w:color="auto" w:fill="auto"/>
            <w:tcMar>
              <w:top w:w="0" w:type="dxa"/>
              <w:bottom w:w="0" w:type="dxa"/>
            </w:tcMar>
            <w:vAlign w:val="center"/>
          </w:tcPr>
          <w:p w14:paraId="6A4A16C5"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1002" w:type="pct"/>
            <w:vMerge/>
            <w:shd w:val="clear" w:color="auto" w:fill="auto"/>
            <w:tcMar>
              <w:top w:w="0" w:type="dxa"/>
              <w:bottom w:w="0" w:type="dxa"/>
            </w:tcMar>
            <w:vAlign w:val="center"/>
          </w:tcPr>
          <w:p w14:paraId="37587A2E" w14:textId="77777777" w:rsidR="006E7806" w:rsidRPr="00C52280" w:rsidRDefault="006E7806"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572" w:type="pct"/>
            <w:shd w:val="clear" w:color="auto" w:fill="auto"/>
            <w:tcMar>
              <w:top w:w="0" w:type="dxa"/>
              <w:bottom w:w="0" w:type="dxa"/>
            </w:tcMar>
            <w:vAlign w:val="center"/>
          </w:tcPr>
          <w:p w14:paraId="5853FEC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Separate Financial Statements</w:t>
            </w:r>
          </w:p>
        </w:tc>
        <w:tc>
          <w:tcPr>
            <w:tcW w:w="659" w:type="pct"/>
            <w:shd w:val="clear" w:color="auto" w:fill="auto"/>
            <w:tcMar>
              <w:top w:w="0" w:type="dxa"/>
              <w:bottom w:w="0" w:type="dxa"/>
            </w:tcMar>
            <w:vAlign w:val="center"/>
          </w:tcPr>
          <w:p w14:paraId="2962818C"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Consolidated Financial Statements</w:t>
            </w:r>
          </w:p>
        </w:tc>
        <w:tc>
          <w:tcPr>
            <w:tcW w:w="572" w:type="pct"/>
            <w:shd w:val="clear" w:color="auto" w:fill="auto"/>
            <w:tcMar>
              <w:top w:w="0" w:type="dxa"/>
              <w:bottom w:w="0" w:type="dxa"/>
            </w:tcMar>
            <w:vAlign w:val="center"/>
          </w:tcPr>
          <w:p w14:paraId="43109C7E"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Separate Financial Statements</w:t>
            </w:r>
          </w:p>
        </w:tc>
        <w:tc>
          <w:tcPr>
            <w:tcW w:w="659" w:type="pct"/>
            <w:shd w:val="clear" w:color="auto" w:fill="auto"/>
            <w:tcMar>
              <w:top w:w="0" w:type="dxa"/>
              <w:bottom w:w="0" w:type="dxa"/>
            </w:tcMar>
            <w:vAlign w:val="center"/>
          </w:tcPr>
          <w:p w14:paraId="6F50764C"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Consolidated Financial Statements</w:t>
            </w:r>
          </w:p>
        </w:tc>
        <w:tc>
          <w:tcPr>
            <w:tcW w:w="572" w:type="pct"/>
            <w:shd w:val="clear" w:color="auto" w:fill="auto"/>
            <w:tcMar>
              <w:top w:w="0" w:type="dxa"/>
              <w:bottom w:w="0" w:type="dxa"/>
            </w:tcMar>
            <w:vAlign w:val="center"/>
          </w:tcPr>
          <w:p w14:paraId="7CD72A5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Separate Financial Statements</w:t>
            </w:r>
          </w:p>
        </w:tc>
        <w:tc>
          <w:tcPr>
            <w:tcW w:w="659" w:type="pct"/>
            <w:shd w:val="clear" w:color="auto" w:fill="auto"/>
            <w:tcMar>
              <w:top w:w="0" w:type="dxa"/>
              <w:bottom w:w="0" w:type="dxa"/>
            </w:tcMar>
            <w:vAlign w:val="center"/>
          </w:tcPr>
          <w:p w14:paraId="6580E2DC"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Consolidated Financial Statements</w:t>
            </w:r>
          </w:p>
        </w:tc>
      </w:tr>
      <w:tr w:rsidR="006E7806" w:rsidRPr="00C52280" w14:paraId="1A589899" w14:textId="77777777" w:rsidTr="00C52280">
        <w:tc>
          <w:tcPr>
            <w:tcW w:w="305" w:type="pct"/>
            <w:shd w:val="clear" w:color="auto" w:fill="auto"/>
            <w:tcMar>
              <w:top w:w="0" w:type="dxa"/>
              <w:bottom w:w="0" w:type="dxa"/>
            </w:tcMar>
            <w:vAlign w:val="center"/>
          </w:tcPr>
          <w:p w14:paraId="447DA8D9"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w:t>
            </w:r>
          </w:p>
        </w:tc>
        <w:tc>
          <w:tcPr>
            <w:tcW w:w="1002" w:type="pct"/>
            <w:shd w:val="clear" w:color="auto" w:fill="auto"/>
            <w:tcMar>
              <w:top w:w="0" w:type="dxa"/>
              <w:bottom w:w="0" w:type="dxa"/>
            </w:tcMar>
            <w:vAlign w:val="center"/>
          </w:tcPr>
          <w:p w14:paraId="23C37150"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Net revenue</w:t>
            </w:r>
          </w:p>
        </w:tc>
        <w:tc>
          <w:tcPr>
            <w:tcW w:w="572" w:type="pct"/>
            <w:shd w:val="clear" w:color="auto" w:fill="auto"/>
            <w:tcMar>
              <w:top w:w="0" w:type="dxa"/>
              <w:bottom w:w="0" w:type="dxa"/>
            </w:tcMar>
            <w:vAlign w:val="center"/>
          </w:tcPr>
          <w:p w14:paraId="1BDED3CB"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5,501</w:t>
            </w:r>
          </w:p>
        </w:tc>
        <w:tc>
          <w:tcPr>
            <w:tcW w:w="659" w:type="pct"/>
            <w:shd w:val="clear" w:color="auto" w:fill="auto"/>
            <w:tcMar>
              <w:top w:w="0" w:type="dxa"/>
              <w:bottom w:w="0" w:type="dxa"/>
            </w:tcMar>
            <w:vAlign w:val="center"/>
          </w:tcPr>
          <w:p w14:paraId="4E6FE265"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5,611</w:t>
            </w:r>
          </w:p>
        </w:tc>
        <w:tc>
          <w:tcPr>
            <w:tcW w:w="572" w:type="pct"/>
            <w:shd w:val="clear" w:color="auto" w:fill="auto"/>
            <w:tcMar>
              <w:top w:w="0" w:type="dxa"/>
              <w:bottom w:w="0" w:type="dxa"/>
            </w:tcMar>
            <w:vAlign w:val="center"/>
          </w:tcPr>
          <w:p w14:paraId="354D19C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11,500</w:t>
            </w:r>
          </w:p>
        </w:tc>
        <w:tc>
          <w:tcPr>
            <w:tcW w:w="659" w:type="pct"/>
            <w:shd w:val="clear" w:color="auto" w:fill="auto"/>
            <w:tcMar>
              <w:top w:w="0" w:type="dxa"/>
              <w:bottom w:w="0" w:type="dxa"/>
            </w:tcMar>
            <w:vAlign w:val="center"/>
          </w:tcPr>
          <w:p w14:paraId="69E1CB84"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11,600</w:t>
            </w:r>
          </w:p>
        </w:tc>
        <w:tc>
          <w:tcPr>
            <w:tcW w:w="572" w:type="pct"/>
            <w:shd w:val="clear" w:color="auto" w:fill="auto"/>
            <w:tcMar>
              <w:top w:w="0" w:type="dxa"/>
              <w:bottom w:w="0" w:type="dxa"/>
            </w:tcMar>
            <w:vAlign w:val="center"/>
          </w:tcPr>
          <w:p w14:paraId="16496EF5"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209%</w:t>
            </w:r>
          </w:p>
        </w:tc>
        <w:tc>
          <w:tcPr>
            <w:tcW w:w="659" w:type="pct"/>
            <w:shd w:val="clear" w:color="auto" w:fill="auto"/>
            <w:tcMar>
              <w:top w:w="0" w:type="dxa"/>
              <w:bottom w:w="0" w:type="dxa"/>
            </w:tcMar>
            <w:vAlign w:val="center"/>
          </w:tcPr>
          <w:p w14:paraId="1A3264F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207%</w:t>
            </w:r>
          </w:p>
        </w:tc>
      </w:tr>
      <w:tr w:rsidR="006E7806" w:rsidRPr="00C52280" w14:paraId="52F27AA7" w14:textId="77777777" w:rsidTr="00C52280">
        <w:tc>
          <w:tcPr>
            <w:tcW w:w="305" w:type="pct"/>
            <w:shd w:val="clear" w:color="auto" w:fill="auto"/>
            <w:tcMar>
              <w:top w:w="0" w:type="dxa"/>
              <w:bottom w:w="0" w:type="dxa"/>
            </w:tcMar>
            <w:vAlign w:val="center"/>
          </w:tcPr>
          <w:p w14:paraId="53E2EDE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w:t>
            </w:r>
          </w:p>
        </w:tc>
        <w:tc>
          <w:tcPr>
            <w:tcW w:w="1002" w:type="pct"/>
            <w:shd w:val="clear" w:color="auto" w:fill="auto"/>
            <w:tcMar>
              <w:top w:w="0" w:type="dxa"/>
              <w:bottom w:w="0" w:type="dxa"/>
            </w:tcMar>
            <w:vAlign w:val="center"/>
          </w:tcPr>
          <w:p w14:paraId="43CD022B"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Profit before tax</w:t>
            </w:r>
          </w:p>
        </w:tc>
        <w:tc>
          <w:tcPr>
            <w:tcW w:w="572" w:type="pct"/>
            <w:shd w:val="clear" w:color="auto" w:fill="auto"/>
            <w:tcMar>
              <w:top w:w="0" w:type="dxa"/>
              <w:bottom w:w="0" w:type="dxa"/>
            </w:tcMar>
            <w:vAlign w:val="center"/>
          </w:tcPr>
          <w:p w14:paraId="2AD90A42"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302</w:t>
            </w:r>
          </w:p>
        </w:tc>
        <w:tc>
          <w:tcPr>
            <w:tcW w:w="659" w:type="pct"/>
            <w:shd w:val="clear" w:color="auto" w:fill="auto"/>
            <w:tcMar>
              <w:top w:w="0" w:type="dxa"/>
              <w:bottom w:w="0" w:type="dxa"/>
            </w:tcMar>
            <w:vAlign w:val="center"/>
          </w:tcPr>
          <w:p w14:paraId="636B494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302</w:t>
            </w:r>
          </w:p>
        </w:tc>
        <w:tc>
          <w:tcPr>
            <w:tcW w:w="572" w:type="pct"/>
            <w:shd w:val="clear" w:color="auto" w:fill="auto"/>
            <w:tcMar>
              <w:top w:w="0" w:type="dxa"/>
              <w:bottom w:w="0" w:type="dxa"/>
            </w:tcMar>
            <w:vAlign w:val="center"/>
          </w:tcPr>
          <w:p w14:paraId="25E66D8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586</w:t>
            </w:r>
          </w:p>
        </w:tc>
        <w:tc>
          <w:tcPr>
            <w:tcW w:w="659" w:type="pct"/>
            <w:shd w:val="clear" w:color="auto" w:fill="auto"/>
            <w:tcMar>
              <w:top w:w="0" w:type="dxa"/>
              <w:bottom w:w="0" w:type="dxa"/>
            </w:tcMar>
            <w:vAlign w:val="center"/>
          </w:tcPr>
          <w:p w14:paraId="140493E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590</w:t>
            </w:r>
          </w:p>
        </w:tc>
        <w:tc>
          <w:tcPr>
            <w:tcW w:w="572" w:type="pct"/>
            <w:shd w:val="clear" w:color="auto" w:fill="auto"/>
            <w:tcMar>
              <w:top w:w="0" w:type="dxa"/>
              <w:bottom w:w="0" w:type="dxa"/>
            </w:tcMar>
            <w:vAlign w:val="center"/>
          </w:tcPr>
          <w:p w14:paraId="0EAA15A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194%</w:t>
            </w:r>
          </w:p>
        </w:tc>
        <w:tc>
          <w:tcPr>
            <w:tcW w:w="659" w:type="pct"/>
            <w:shd w:val="clear" w:color="auto" w:fill="auto"/>
            <w:tcMar>
              <w:top w:w="0" w:type="dxa"/>
              <w:bottom w:w="0" w:type="dxa"/>
            </w:tcMar>
            <w:vAlign w:val="center"/>
          </w:tcPr>
          <w:p w14:paraId="2E0D654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195%</w:t>
            </w:r>
          </w:p>
        </w:tc>
      </w:tr>
      <w:tr w:rsidR="006E7806" w:rsidRPr="00C52280" w14:paraId="2AADBBD8" w14:textId="77777777" w:rsidTr="00C52280">
        <w:tc>
          <w:tcPr>
            <w:tcW w:w="305" w:type="pct"/>
            <w:shd w:val="clear" w:color="auto" w:fill="auto"/>
            <w:tcMar>
              <w:top w:w="0" w:type="dxa"/>
              <w:bottom w:w="0" w:type="dxa"/>
            </w:tcMar>
            <w:vAlign w:val="center"/>
          </w:tcPr>
          <w:p w14:paraId="3B58452A"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3</w:t>
            </w:r>
          </w:p>
        </w:tc>
        <w:tc>
          <w:tcPr>
            <w:tcW w:w="1002" w:type="pct"/>
            <w:shd w:val="clear" w:color="auto" w:fill="auto"/>
            <w:tcMar>
              <w:top w:w="0" w:type="dxa"/>
              <w:bottom w:w="0" w:type="dxa"/>
            </w:tcMar>
            <w:vAlign w:val="center"/>
          </w:tcPr>
          <w:p w14:paraId="446236B2"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Dividend</w:t>
            </w:r>
          </w:p>
        </w:tc>
        <w:tc>
          <w:tcPr>
            <w:tcW w:w="572" w:type="pct"/>
            <w:shd w:val="clear" w:color="auto" w:fill="auto"/>
            <w:tcMar>
              <w:top w:w="0" w:type="dxa"/>
              <w:bottom w:w="0" w:type="dxa"/>
            </w:tcMar>
            <w:vAlign w:val="center"/>
          </w:tcPr>
          <w:p w14:paraId="06D92DB9"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9% (by shares)</w:t>
            </w:r>
          </w:p>
        </w:tc>
        <w:tc>
          <w:tcPr>
            <w:tcW w:w="659" w:type="pct"/>
            <w:shd w:val="clear" w:color="auto" w:fill="auto"/>
            <w:tcMar>
              <w:top w:w="0" w:type="dxa"/>
              <w:bottom w:w="0" w:type="dxa"/>
            </w:tcMar>
            <w:vAlign w:val="center"/>
          </w:tcPr>
          <w:p w14:paraId="54BBCAA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572" w:type="pct"/>
            <w:shd w:val="clear" w:color="auto" w:fill="auto"/>
            <w:tcMar>
              <w:top w:w="0" w:type="dxa"/>
              <w:bottom w:w="0" w:type="dxa"/>
            </w:tcMar>
            <w:vAlign w:val="center"/>
          </w:tcPr>
          <w:p w14:paraId="435953B6" w14:textId="60235C51" w:rsidR="006E7806" w:rsidRPr="00C52280" w:rsidRDefault="007639F7"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s="Arial"/>
                <w:color w:val="010000"/>
                <w:sz w:val="20"/>
              </w:rPr>
              <w:t>12% (in cash/</w:t>
            </w:r>
            <w:r w:rsidR="008D2A6C" w:rsidRPr="00C52280">
              <w:rPr>
                <w:rFonts w:ascii="Arial" w:hAnsi="Arial" w:cs="Arial"/>
                <w:color w:val="010000"/>
                <w:sz w:val="20"/>
              </w:rPr>
              <w:t>by shares)</w:t>
            </w:r>
          </w:p>
        </w:tc>
        <w:tc>
          <w:tcPr>
            <w:tcW w:w="659" w:type="pct"/>
            <w:shd w:val="clear" w:color="auto" w:fill="auto"/>
            <w:tcMar>
              <w:top w:w="0" w:type="dxa"/>
              <w:bottom w:w="0" w:type="dxa"/>
            </w:tcMar>
            <w:vAlign w:val="center"/>
          </w:tcPr>
          <w:p w14:paraId="54ED430F"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572" w:type="pct"/>
            <w:shd w:val="clear" w:color="auto" w:fill="auto"/>
            <w:tcMar>
              <w:top w:w="0" w:type="dxa"/>
              <w:bottom w:w="0" w:type="dxa"/>
            </w:tcMar>
            <w:vAlign w:val="center"/>
          </w:tcPr>
          <w:p w14:paraId="2D327D6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659" w:type="pct"/>
            <w:shd w:val="clear" w:color="auto" w:fill="auto"/>
            <w:tcMar>
              <w:top w:w="0" w:type="dxa"/>
              <w:bottom w:w="0" w:type="dxa"/>
            </w:tcMar>
            <w:vAlign w:val="center"/>
          </w:tcPr>
          <w:p w14:paraId="0501A1ED"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r>
      <w:tr w:rsidR="006E7806" w:rsidRPr="00C52280" w14:paraId="30DA61C8" w14:textId="77777777" w:rsidTr="00C52280">
        <w:tc>
          <w:tcPr>
            <w:tcW w:w="305" w:type="pct"/>
            <w:shd w:val="clear" w:color="auto" w:fill="auto"/>
            <w:tcMar>
              <w:top w:w="0" w:type="dxa"/>
              <w:bottom w:w="0" w:type="dxa"/>
            </w:tcMar>
            <w:vAlign w:val="center"/>
          </w:tcPr>
          <w:p w14:paraId="660C1087"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4</w:t>
            </w:r>
          </w:p>
        </w:tc>
        <w:tc>
          <w:tcPr>
            <w:tcW w:w="1002" w:type="pct"/>
            <w:shd w:val="clear" w:color="auto" w:fill="auto"/>
            <w:tcMar>
              <w:top w:w="0" w:type="dxa"/>
              <w:bottom w:w="0" w:type="dxa"/>
            </w:tcMar>
            <w:vAlign w:val="center"/>
          </w:tcPr>
          <w:p w14:paraId="77E2FAAF" w14:textId="77777777" w:rsidR="006E7806" w:rsidRPr="00C52280" w:rsidRDefault="008D2A6C" w:rsidP="00C5228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2280">
              <w:rPr>
                <w:rFonts w:ascii="Arial" w:hAnsi="Arial" w:cs="Arial"/>
                <w:color w:val="010000"/>
                <w:sz w:val="20"/>
              </w:rPr>
              <w:t>Bonus and welfare fund</w:t>
            </w:r>
          </w:p>
        </w:tc>
        <w:tc>
          <w:tcPr>
            <w:tcW w:w="572" w:type="pct"/>
            <w:shd w:val="clear" w:color="auto" w:fill="auto"/>
            <w:tcMar>
              <w:top w:w="0" w:type="dxa"/>
              <w:bottom w:w="0" w:type="dxa"/>
            </w:tcMar>
            <w:vAlign w:val="center"/>
          </w:tcPr>
          <w:p w14:paraId="59B7FE2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20</w:t>
            </w:r>
          </w:p>
        </w:tc>
        <w:tc>
          <w:tcPr>
            <w:tcW w:w="659" w:type="pct"/>
            <w:shd w:val="clear" w:color="auto" w:fill="auto"/>
            <w:tcMar>
              <w:top w:w="0" w:type="dxa"/>
              <w:bottom w:w="0" w:type="dxa"/>
            </w:tcMar>
            <w:vAlign w:val="center"/>
          </w:tcPr>
          <w:p w14:paraId="029D7A95"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572" w:type="pct"/>
            <w:shd w:val="clear" w:color="auto" w:fill="auto"/>
            <w:tcMar>
              <w:top w:w="0" w:type="dxa"/>
              <w:bottom w:w="0" w:type="dxa"/>
            </w:tcMar>
            <w:vAlign w:val="center"/>
          </w:tcPr>
          <w:p w14:paraId="6E744EE3"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659" w:type="pct"/>
            <w:shd w:val="clear" w:color="auto" w:fill="auto"/>
            <w:tcMar>
              <w:top w:w="0" w:type="dxa"/>
              <w:bottom w:w="0" w:type="dxa"/>
            </w:tcMar>
            <w:vAlign w:val="center"/>
          </w:tcPr>
          <w:p w14:paraId="7F035379"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572" w:type="pct"/>
            <w:shd w:val="clear" w:color="auto" w:fill="auto"/>
            <w:tcMar>
              <w:top w:w="0" w:type="dxa"/>
              <w:bottom w:w="0" w:type="dxa"/>
            </w:tcMar>
            <w:vAlign w:val="center"/>
          </w:tcPr>
          <w:p w14:paraId="3DA64736"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c>
          <w:tcPr>
            <w:tcW w:w="659" w:type="pct"/>
            <w:shd w:val="clear" w:color="auto" w:fill="auto"/>
            <w:tcMar>
              <w:top w:w="0" w:type="dxa"/>
              <w:bottom w:w="0" w:type="dxa"/>
            </w:tcMar>
            <w:vAlign w:val="center"/>
          </w:tcPr>
          <w:p w14:paraId="2F06BF01" w14:textId="77777777" w:rsidR="006E7806" w:rsidRPr="00C52280" w:rsidRDefault="008D2A6C" w:rsidP="00C5228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2280">
              <w:rPr>
                <w:rFonts w:ascii="Arial" w:hAnsi="Arial" w:cs="Arial"/>
                <w:color w:val="010000"/>
                <w:sz w:val="20"/>
              </w:rPr>
              <w:t>-</w:t>
            </w:r>
          </w:p>
        </w:tc>
      </w:tr>
    </w:tbl>
    <w:p w14:paraId="44E5F605"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7. Approve the Proposal of the Board of Directors on the remuneration of the Board of Directors 2024.</w:t>
      </w:r>
    </w:p>
    <w:p w14:paraId="451BF8C8" w14:textId="77777777" w:rsidR="006E7806" w:rsidRPr="00C52280" w:rsidRDefault="008D2A6C" w:rsidP="007639F7">
      <w:pPr>
        <w:pBdr>
          <w:top w:val="nil"/>
          <w:left w:val="nil"/>
          <w:bottom w:val="nil"/>
          <w:right w:val="nil"/>
          <w:between w:val="nil"/>
        </w:pBdr>
        <w:tabs>
          <w:tab w:val="left" w:pos="432"/>
          <w:tab w:val="left" w:pos="10845"/>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8. Approve the Proposal of the Board of Directors on selecting an audit company for the Financial Statements 2024.</w:t>
      </w:r>
    </w:p>
    <w:p w14:paraId="5D23D7C3" w14:textId="1B8AE314"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General Meeting approved the list of audit companies according to the Proposal of the Board of Directors and authorized the Board of Directors of Construction Corporation No.1 Joint Stock Company to select and decide on the company to audit the Financial Statements 2024 of Construction Corporation No.1 Joint Stock Company according to the list of companies approved by the </w:t>
      </w:r>
      <w:r w:rsidR="007639F7">
        <w:rPr>
          <w:rFonts w:ascii="Arial" w:hAnsi="Arial" w:cs="Arial"/>
          <w:color w:val="010000"/>
          <w:sz w:val="20"/>
        </w:rPr>
        <w:t>General Meeting</w:t>
      </w:r>
      <w:r w:rsidRPr="00C52280">
        <w:rPr>
          <w:rFonts w:ascii="Arial" w:hAnsi="Arial" w:cs="Arial"/>
          <w:color w:val="010000"/>
          <w:sz w:val="20"/>
        </w:rPr>
        <w:t>.</w:t>
      </w:r>
    </w:p>
    <w:p w14:paraId="43193C24"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9. Approve the Proposal of the Board of Directors on increasing charter capital 2024.</w:t>
      </w:r>
    </w:p>
    <w:p w14:paraId="3A2504EC" w14:textId="2CF4DB61" w:rsidR="006E7806" w:rsidRPr="00C52280" w:rsidRDefault="007639F7" w:rsidP="007639F7">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Issue</w:t>
      </w:r>
      <w:r w:rsidR="008D2A6C" w:rsidRPr="00C52280">
        <w:rPr>
          <w:rFonts w:ascii="Arial" w:hAnsi="Arial" w:cs="Arial"/>
          <w:color w:val="010000"/>
          <w:sz w:val="20"/>
        </w:rPr>
        <w:t xml:space="preserve"> plan:</w:t>
      </w:r>
    </w:p>
    <w:p w14:paraId="393AB564"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lastRenderedPageBreak/>
        <w:t>Name of shares: Shares of Construction Corporation No.1 Joint Stock Company</w:t>
      </w:r>
    </w:p>
    <w:p w14:paraId="1C4D8723"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Type of shares: Common share</w:t>
      </w:r>
    </w:p>
    <w:p w14:paraId="6545F9F7"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Par value: VND 10,000/share</w:t>
      </w:r>
    </w:p>
    <w:p w14:paraId="48937809" w14:textId="77B88812"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Charter capital before the </w:t>
      </w:r>
      <w:r w:rsidR="007639F7">
        <w:rPr>
          <w:rFonts w:ascii="Arial" w:hAnsi="Arial" w:cs="Arial"/>
          <w:color w:val="010000"/>
          <w:sz w:val="20"/>
        </w:rPr>
        <w:t>issue</w:t>
      </w:r>
      <w:r w:rsidRPr="00C52280">
        <w:rPr>
          <w:rFonts w:ascii="Arial" w:hAnsi="Arial" w:cs="Arial"/>
          <w:color w:val="010000"/>
          <w:sz w:val="20"/>
        </w:rPr>
        <w:t xml:space="preserve">: </w:t>
      </w:r>
      <w:r w:rsidR="00CC2ED8" w:rsidRPr="00C52280">
        <w:rPr>
          <w:rFonts w:ascii="Arial" w:hAnsi="Arial" w:cs="Arial"/>
          <w:color w:val="010000"/>
          <w:sz w:val="20"/>
        </w:rPr>
        <w:t xml:space="preserve">VND </w:t>
      </w:r>
      <w:r w:rsidRPr="00C52280">
        <w:rPr>
          <w:rFonts w:ascii="Arial" w:hAnsi="Arial" w:cs="Arial"/>
          <w:color w:val="010000"/>
          <w:sz w:val="20"/>
        </w:rPr>
        <w:t>3,585,078,250,000.</w:t>
      </w:r>
    </w:p>
    <w:p w14:paraId="5C70BC0C"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Number of treasury shares: 337,800 shares.</w:t>
      </w:r>
    </w:p>
    <w:p w14:paraId="6BEAFCD6"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Number of outstanding voting shares as of December 31, 2023: 358,170,025 shares.</w:t>
      </w:r>
    </w:p>
    <w:p w14:paraId="30F28DD6"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The number of additional shares expected to be issued: 232,235,302 shares. In which:</w:t>
      </w:r>
    </w:p>
    <w:p w14:paraId="64381A64" w14:textId="75943F39" w:rsidR="006E7806" w:rsidRPr="00C52280" w:rsidRDefault="008D2A6C" w:rsidP="007639F7">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Expected </w:t>
      </w:r>
      <w:r w:rsidR="007639F7">
        <w:rPr>
          <w:rFonts w:ascii="Arial" w:hAnsi="Arial" w:cs="Arial"/>
          <w:color w:val="010000"/>
          <w:sz w:val="20"/>
        </w:rPr>
        <w:t>issue</w:t>
      </w:r>
      <w:r w:rsidRPr="00C52280">
        <w:rPr>
          <w:rFonts w:ascii="Arial" w:hAnsi="Arial" w:cs="Arial"/>
          <w:color w:val="010000"/>
          <w:sz w:val="20"/>
        </w:rPr>
        <w:t xml:space="preserve"> for dividend payment in 2023: 32,235,302 shares</w:t>
      </w:r>
    </w:p>
    <w:p w14:paraId="57594B63" w14:textId="67846B1E" w:rsidR="006E7806" w:rsidRPr="00C52280" w:rsidRDefault="008D2A6C" w:rsidP="007639F7">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Expected share </w:t>
      </w:r>
      <w:r w:rsidR="007639F7">
        <w:rPr>
          <w:rFonts w:ascii="Arial" w:hAnsi="Arial" w:cs="Arial"/>
          <w:color w:val="010000"/>
          <w:sz w:val="20"/>
        </w:rPr>
        <w:t>issue</w:t>
      </w:r>
      <w:r w:rsidRPr="00C52280">
        <w:rPr>
          <w:rFonts w:ascii="Arial" w:hAnsi="Arial" w:cs="Arial"/>
          <w:color w:val="010000"/>
          <w:sz w:val="20"/>
        </w:rPr>
        <w:t xml:space="preserve"> for private placement: 200,000,000 shares</w:t>
      </w:r>
    </w:p>
    <w:p w14:paraId="17AE05BC"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Expected increase amount of charter capital: VND 2,322,353,020,000 at maximum.</w:t>
      </w:r>
    </w:p>
    <w:p w14:paraId="0A1EBEF0" w14:textId="77777777" w:rsidR="006E7806" w:rsidRPr="00C52280" w:rsidRDefault="008D2A6C" w:rsidP="007639F7">
      <w:pPr>
        <w:numPr>
          <w:ilvl w:val="0"/>
          <w:numId w:val="7"/>
        </w:numPr>
        <w:pBdr>
          <w:top w:val="nil"/>
          <w:left w:val="nil"/>
          <w:bottom w:val="nil"/>
          <w:right w:val="nil"/>
          <w:between w:val="nil"/>
        </w:pBdr>
        <w:tabs>
          <w:tab w:val="left" w:pos="432"/>
          <w:tab w:val="left" w:pos="1803"/>
        </w:tabs>
        <w:spacing w:after="120" w:line="360" w:lineRule="auto"/>
        <w:jc w:val="both"/>
        <w:rPr>
          <w:rFonts w:ascii="Arial" w:eastAsia="Arial" w:hAnsi="Arial" w:cs="Arial"/>
          <w:color w:val="010000"/>
          <w:sz w:val="20"/>
          <w:szCs w:val="20"/>
        </w:rPr>
      </w:pPr>
      <w:r w:rsidRPr="00C52280">
        <w:rPr>
          <w:rFonts w:ascii="Arial" w:hAnsi="Arial" w:cs="Arial"/>
          <w:color w:val="010000"/>
          <w:sz w:val="20"/>
        </w:rPr>
        <w:t>Expected charter capital after completing the increase of charter capital 2024: VND 5,907,431,270,000.</w:t>
      </w:r>
    </w:p>
    <w:p w14:paraId="588FB528" w14:textId="63BC30FA" w:rsidR="006E7806" w:rsidRPr="00C52280" w:rsidRDefault="008D2A6C" w:rsidP="007639F7">
      <w:pPr>
        <w:numPr>
          <w:ilvl w:val="0"/>
          <w:numId w:val="1"/>
        </w:numPr>
        <w:pBdr>
          <w:top w:val="nil"/>
          <w:left w:val="nil"/>
          <w:bottom w:val="nil"/>
          <w:right w:val="nil"/>
          <w:between w:val="nil"/>
        </w:pBdr>
        <w:tabs>
          <w:tab w:val="left" w:pos="432"/>
          <w:tab w:val="left" w:pos="1845"/>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Detailed </w:t>
      </w:r>
      <w:r w:rsidR="007639F7">
        <w:rPr>
          <w:rFonts w:ascii="Arial" w:hAnsi="Arial" w:cs="Arial"/>
          <w:color w:val="010000"/>
          <w:sz w:val="20"/>
        </w:rPr>
        <w:t>issue</w:t>
      </w:r>
      <w:r w:rsidRPr="00C52280">
        <w:rPr>
          <w:rFonts w:ascii="Arial" w:hAnsi="Arial" w:cs="Arial"/>
          <w:color w:val="010000"/>
          <w:sz w:val="20"/>
        </w:rPr>
        <w:t xml:space="preserve"> plan:</w:t>
      </w:r>
    </w:p>
    <w:p w14:paraId="1C25B3AC" w14:textId="02DDC0CD" w:rsidR="006E7806" w:rsidRPr="00C52280" w:rsidRDefault="008D2A6C" w:rsidP="007639F7">
      <w:pPr>
        <w:numPr>
          <w:ilvl w:val="1"/>
          <w:numId w:val="4"/>
        </w:numPr>
        <w:pBdr>
          <w:top w:val="nil"/>
          <w:left w:val="nil"/>
          <w:bottom w:val="nil"/>
          <w:right w:val="nil"/>
          <w:between w:val="nil"/>
        </w:pBdr>
        <w:tabs>
          <w:tab w:val="left" w:pos="432"/>
          <w:tab w:val="left" w:pos="1845"/>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Share </w:t>
      </w:r>
      <w:r w:rsidR="007639F7">
        <w:rPr>
          <w:rFonts w:ascii="Arial" w:hAnsi="Arial" w:cs="Arial"/>
          <w:color w:val="010000"/>
          <w:sz w:val="20"/>
        </w:rPr>
        <w:t>issue</w:t>
      </w:r>
      <w:r w:rsidRPr="00C52280">
        <w:rPr>
          <w:rFonts w:ascii="Arial" w:hAnsi="Arial" w:cs="Arial"/>
          <w:color w:val="010000"/>
          <w:sz w:val="20"/>
        </w:rPr>
        <w:t xml:space="preserve"> plan for dividend payment 2023</w:t>
      </w:r>
    </w:p>
    <w:p w14:paraId="6D6A95CA"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Number of shares expected to be issued</w:t>
      </w:r>
      <w:r w:rsidR="00892F81" w:rsidRPr="00C52280">
        <w:rPr>
          <w:rFonts w:ascii="Arial" w:hAnsi="Arial" w:cs="Arial"/>
          <w:color w:val="010000"/>
          <w:sz w:val="20"/>
        </w:rPr>
        <w:t>:</w:t>
      </w:r>
      <w:r w:rsidRPr="00C52280">
        <w:rPr>
          <w:rFonts w:ascii="Arial" w:hAnsi="Arial" w:cs="Arial"/>
          <w:color w:val="010000"/>
          <w:sz w:val="20"/>
        </w:rPr>
        <w:t xml:space="preserve"> 32,235,302 shares.</w:t>
      </w:r>
    </w:p>
    <w:p w14:paraId="2D014B17" w14:textId="25415D99"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Total </w:t>
      </w:r>
      <w:r w:rsidR="007639F7">
        <w:rPr>
          <w:rFonts w:ascii="Arial" w:hAnsi="Arial" w:cs="Arial"/>
          <w:color w:val="010000"/>
          <w:sz w:val="20"/>
        </w:rPr>
        <w:t>issue</w:t>
      </w:r>
      <w:r w:rsidRPr="00C52280">
        <w:rPr>
          <w:rFonts w:ascii="Arial" w:hAnsi="Arial" w:cs="Arial"/>
          <w:color w:val="010000"/>
          <w:sz w:val="20"/>
        </w:rPr>
        <w:t xml:space="preserve"> value at par value: VND 322,353,020,000.</w:t>
      </w:r>
    </w:p>
    <w:p w14:paraId="25AA69A1"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Distribution rate for dividend payment: 9%, corresponding to each shareholder owning 100 shares will receive 9 additional issued shares.</w:t>
      </w:r>
    </w:p>
    <w:p w14:paraId="15A308C7"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Eligible buyers: shareholders named in the list of shareholders at the record date to exercise rights to receive shares to pay dividends according to the Boar</w:t>
      </w:r>
      <w:r w:rsidR="00892F81" w:rsidRPr="00C52280">
        <w:rPr>
          <w:rFonts w:ascii="Arial" w:hAnsi="Arial" w:cs="Arial"/>
          <w:color w:val="010000"/>
          <w:sz w:val="20"/>
        </w:rPr>
        <w:t>d Resolution confirmed by Vietn</w:t>
      </w:r>
      <w:r w:rsidRPr="00C52280">
        <w:rPr>
          <w:rFonts w:ascii="Arial" w:hAnsi="Arial" w:cs="Arial"/>
          <w:color w:val="010000"/>
          <w:sz w:val="20"/>
        </w:rPr>
        <w:t>am Securities Depository and Clearing Corporation.</w:t>
      </w:r>
    </w:p>
    <w:p w14:paraId="2A94721E" w14:textId="367403E6"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Source for implementation: </w:t>
      </w:r>
      <w:r w:rsidR="00892F81" w:rsidRPr="00C52280">
        <w:rPr>
          <w:rFonts w:ascii="Arial" w:hAnsi="Arial" w:cs="Arial"/>
          <w:color w:val="010000"/>
          <w:sz w:val="20"/>
        </w:rPr>
        <w:t>F</w:t>
      </w:r>
      <w:r w:rsidRPr="00C52280">
        <w:rPr>
          <w:rFonts w:ascii="Arial" w:hAnsi="Arial" w:cs="Arial"/>
          <w:color w:val="010000"/>
          <w:sz w:val="20"/>
        </w:rPr>
        <w:t xml:space="preserve">rom the accumulated undistributed profits section in the Audited Financial Statements 2023 after appropriation for funds to ensure compliance with </w:t>
      </w:r>
      <w:r w:rsidR="007639F7">
        <w:rPr>
          <w:rFonts w:ascii="Arial" w:hAnsi="Arial" w:cs="Arial"/>
          <w:color w:val="010000"/>
          <w:sz w:val="20"/>
        </w:rPr>
        <w:t>applicable laws</w:t>
      </w:r>
      <w:r w:rsidRPr="00C52280">
        <w:rPr>
          <w:rFonts w:ascii="Arial" w:hAnsi="Arial" w:cs="Arial"/>
          <w:color w:val="010000"/>
          <w:sz w:val="20"/>
        </w:rPr>
        <w:t>.</w:t>
      </w:r>
    </w:p>
    <w:p w14:paraId="1BEAA8BD" w14:textId="0B456429"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Plan to handle fractional shares: the number of shares each shareholder receives upon </w:t>
      </w:r>
      <w:r w:rsidR="007639F7">
        <w:rPr>
          <w:rFonts w:ascii="Arial" w:hAnsi="Arial" w:cs="Arial"/>
          <w:color w:val="010000"/>
          <w:sz w:val="20"/>
        </w:rPr>
        <w:t>issue</w:t>
      </w:r>
      <w:r w:rsidRPr="00C52280">
        <w:rPr>
          <w:rFonts w:ascii="Arial" w:hAnsi="Arial" w:cs="Arial"/>
          <w:color w:val="010000"/>
          <w:sz w:val="20"/>
        </w:rPr>
        <w:t xml:space="preserve"> will be rounded down to the unit, </w:t>
      </w:r>
      <w:r w:rsidR="00892F81" w:rsidRPr="00C52280">
        <w:rPr>
          <w:rFonts w:ascii="Arial" w:hAnsi="Arial" w:cs="Arial"/>
          <w:color w:val="010000"/>
          <w:sz w:val="20"/>
        </w:rPr>
        <w:t xml:space="preserve">and </w:t>
      </w:r>
      <w:r w:rsidRPr="00C52280">
        <w:rPr>
          <w:rFonts w:ascii="Arial" w:hAnsi="Arial" w:cs="Arial"/>
          <w:color w:val="010000"/>
          <w:sz w:val="20"/>
        </w:rPr>
        <w:t xml:space="preserve">the number of fractional shares arising due to rounding down (if any) will be </w:t>
      </w:r>
      <w:r w:rsidR="007639F7">
        <w:rPr>
          <w:rFonts w:ascii="Arial" w:hAnsi="Arial" w:cs="Arial"/>
          <w:color w:val="010000"/>
          <w:sz w:val="20"/>
        </w:rPr>
        <w:t>disposed of</w:t>
      </w:r>
      <w:r w:rsidRPr="00C52280">
        <w:rPr>
          <w:rFonts w:ascii="Arial" w:hAnsi="Arial" w:cs="Arial"/>
          <w:color w:val="010000"/>
          <w:sz w:val="20"/>
        </w:rPr>
        <w:t>.</w:t>
      </w:r>
    </w:p>
    <w:p w14:paraId="14582B36" w14:textId="34497BFD"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For example: On the record date for the list of shareholders, shareholder A owns 615 shares. Then, shareholder A will receive 55.35 shares (=615 X 9%). After rounding down to the unit, the actual number of shares shareholder A will receive is 55 shares. The fractional 0.35 shares will be </w:t>
      </w:r>
      <w:r w:rsidR="007639F7">
        <w:rPr>
          <w:rFonts w:ascii="Arial" w:hAnsi="Arial" w:cs="Arial"/>
          <w:color w:val="010000"/>
          <w:sz w:val="20"/>
        </w:rPr>
        <w:t>disposed of</w:t>
      </w:r>
      <w:r w:rsidRPr="00C52280">
        <w:rPr>
          <w:rFonts w:ascii="Arial" w:hAnsi="Arial" w:cs="Arial"/>
          <w:color w:val="010000"/>
          <w:sz w:val="20"/>
        </w:rPr>
        <w:t>.</w:t>
      </w:r>
    </w:p>
    <w:p w14:paraId="157E7436"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Expected issue date: In 2024, after receiving approval document from the State Securities Commission.</w:t>
      </w:r>
    </w:p>
    <w:p w14:paraId="2F3CFAEF" w14:textId="4A84DC65"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Registering and listing additionally issued shares: </w:t>
      </w:r>
      <w:r w:rsidR="007639F7">
        <w:rPr>
          <w:rFonts w:ascii="Arial" w:hAnsi="Arial" w:cs="Arial"/>
          <w:color w:val="010000"/>
          <w:sz w:val="20"/>
        </w:rPr>
        <w:t>additional</w:t>
      </w:r>
      <w:r w:rsidRPr="00C52280">
        <w:rPr>
          <w:rFonts w:ascii="Arial" w:hAnsi="Arial" w:cs="Arial"/>
          <w:color w:val="010000"/>
          <w:sz w:val="20"/>
        </w:rPr>
        <w:t xml:space="preserve"> issued shares will be registered for centralized depository and additional listing in accordance with regulations.</w:t>
      </w:r>
    </w:p>
    <w:p w14:paraId="517368F5" w14:textId="77777777" w:rsidR="006E7806" w:rsidRPr="00C52280" w:rsidRDefault="008D2A6C" w:rsidP="007639F7">
      <w:pPr>
        <w:numPr>
          <w:ilvl w:val="1"/>
          <w:numId w:val="4"/>
        </w:numPr>
        <w:pBdr>
          <w:top w:val="nil"/>
          <w:left w:val="nil"/>
          <w:bottom w:val="nil"/>
          <w:right w:val="nil"/>
          <w:between w:val="nil"/>
        </w:pBdr>
        <w:tabs>
          <w:tab w:val="left" w:pos="432"/>
          <w:tab w:val="left" w:pos="2035"/>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lastRenderedPageBreak/>
        <w:t>Plan to issue shares for private placement.</w:t>
      </w:r>
    </w:p>
    <w:p w14:paraId="538E5971"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Number of shares expected to be offered: 200,000,000 shares.</w:t>
      </w:r>
    </w:p>
    <w:p w14:paraId="170A271C"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Total estimated offering value at par value: VND 2,000,000,000,000.</w:t>
      </w:r>
    </w:p>
    <w:p w14:paraId="7B8B1597"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Offering purposes: Improve financial capacity, operational scale</w:t>
      </w:r>
      <w:r w:rsidR="00892F81" w:rsidRPr="00C52280">
        <w:rPr>
          <w:rFonts w:ascii="Arial" w:hAnsi="Arial" w:cs="Arial"/>
          <w:color w:val="010000"/>
          <w:sz w:val="20"/>
        </w:rPr>
        <w:t>,</w:t>
      </w:r>
      <w:r w:rsidRPr="00C52280">
        <w:rPr>
          <w:rFonts w:ascii="Arial" w:hAnsi="Arial" w:cs="Arial"/>
          <w:color w:val="010000"/>
          <w:sz w:val="20"/>
        </w:rPr>
        <w:t xml:space="preserve"> and competitiveness, thereby creating the basis for sustainable development of Construction Corporation No.1 Joint Stock Company in the future</w:t>
      </w:r>
    </w:p>
    <w:p w14:paraId="21C83971"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Offering form: Private placement for professional securities investors.</w:t>
      </w:r>
    </w:p>
    <w:p w14:paraId="195079FF" w14:textId="77777777" w:rsidR="006E7806" w:rsidRPr="00C52280" w:rsidRDefault="008D2A6C" w:rsidP="007639F7">
      <w:pPr>
        <w:numPr>
          <w:ilvl w:val="0"/>
          <w:numId w:val="7"/>
        </w:numPr>
        <w:pBdr>
          <w:top w:val="nil"/>
          <w:left w:val="nil"/>
          <w:bottom w:val="nil"/>
          <w:right w:val="nil"/>
          <w:between w:val="nil"/>
        </w:pBdr>
        <w:tabs>
          <w:tab w:val="left" w:pos="432"/>
          <w:tab w:val="left" w:pos="1792"/>
        </w:tabs>
        <w:spacing w:after="120" w:line="360" w:lineRule="auto"/>
        <w:jc w:val="both"/>
        <w:rPr>
          <w:rFonts w:ascii="Arial" w:eastAsia="Arial" w:hAnsi="Arial" w:cs="Arial"/>
          <w:color w:val="010000"/>
          <w:sz w:val="20"/>
          <w:szCs w:val="20"/>
        </w:rPr>
      </w:pPr>
      <w:r w:rsidRPr="00C52280">
        <w:rPr>
          <w:rFonts w:ascii="Arial" w:hAnsi="Arial" w:cs="Arial"/>
          <w:color w:val="010000"/>
          <w:sz w:val="20"/>
        </w:rPr>
        <w:t>Eligible buyers:</w:t>
      </w:r>
    </w:p>
    <w:p w14:paraId="3F64EC3A" w14:textId="77777777" w:rsidR="006E7806" w:rsidRPr="00C52280" w:rsidRDefault="008D2A6C" w:rsidP="007639F7">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Criteria for investors: Professional securities investor according to the provisions of Article 11 of Law on Securities No. 54/2019/QH14 dated November 26, 2019 and related guiding documents;</w:t>
      </w:r>
    </w:p>
    <w:p w14:paraId="1DC73694" w14:textId="77777777" w:rsidR="006E7806" w:rsidRPr="00C52280" w:rsidRDefault="008D2A6C" w:rsidP="007639F7">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Number of investors: Maximum 10 investors;</w:t>
      </w:r>
    </w:p>
    <w:p w14:paraId="7E858682" w14:textId="08F4EB4D" w:rsidR="006E7806" w:rsidRPr="00C52280" w:rsidRDefault="008D2A6C" w:rsidP="007639F7">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List of Investors: The </w:t>
      </w:r>
      <w:r w:rsidR="007639F7">
        <w:rPr>
          <w:rFonts w:ascii="Arial" w:hAnsi="Arial" w:cs="Arial"/>
          <w:color w:val="010000"/>
          <w:sz w:val="20"/>
        </w:rPr>
        <w:t>General Meeting</w:t>
      </w:r>
      <w:r w:rsidRPr="00C52280">
        <w:rPr>
          <w:rFonts w:ascii="Arial" w:hAnsi="Arial" w:cs="Arial"/>
          <w:color w:val="010000"/>
          <w:sz w:val="20"/>
        </w:rPr>
        <w:t xml:space="preserve"> authorize</w:t>
      </w:r>
      <w:r w:rsidR="00892F81" w:rsidRPr="00C52280">
        <w:rPr>
          <w:rFonts w:ascii="Arial" w:hAnsi="Arial" w:cs="Arial"/>
          <w:color w:val="010000"/>
          <w:sz w:val="20"/>
        </w:rPr>
        <w:t>d</w:t>
      </w:r>
      <w:r w:rsidRPr="00C52280">
        <w:rPr>
          <w:rFonts w:ascii="Arial" w:hAnsi="Arial" w:cs="Arial"/>
          <w:color w:val="010000"/>
          <w:sz w:val="20"/>
        </w:rPr>
        <w:t xml:space="preserve"> the Board of Directors to select and decide on a list of professional securities investors to ensure compliance with the investor criteria approved by the </w:t>
      </w:r>
      <w:r w:rsidR="007639F7">
        <w:rPr>
          <w:rFonts w:ascii="Arial" w:hAnsi="Arial" w:cs="Arial"/>
          <w:color w:val="010000"/>
          <w:sz w:val="20"/>
        </w:rPr>
        <w:t>General Meeting</w:t>
      </w:r>
      <w:r w:rsidRPr="00C52280">
        <w:rPr>
          <w:rFonts w:ascii="Arial" w:hAnsi="Arial" w:cs="Arial"/>
          <w:color w:val="010000"/>
          <w:sz w:val="20"/>
        </w:rPr>
        <w:t>, and at the same time ensure compliance with regulations on the foreign investor ownership rate.</w:t>
      </w:r>
    </w:p>
    <w:p w14:paraId="638612A6" w14:textId="24E85340" w:rsidR="006E7806" w:rsidRPr="00C52280" w:rsidRDefault="008D2A6C" w:rsidP="007639F7">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Public offering: In case the investor rate selected by the Board of Directors to participate in buying shares during the offering reaches or exceeds the ownership rate as prescribed in </w:t>
      </w:r>
      <w:r w:rsidR="007639F7">
        <w:rPr>
          <w:rFonts w:ascii="Arial" w:hAnsi="Arial" w:cs="Arial"/>
          <w:color w:val="010000"/>
          <w:sz w:val="20"/>
        </w:rPr>
        <w:t>Section 1</w:t>
      </w:r>
      <w:r w:rsidRPr="00C52280">
        <w:rPr>
          <w:rFonts w:ascii="Arial" w:hAnsi="Arial" w:cs="Arial"/>
          <w:color w:val="010000"/>
          <w:sz w:val="20"/>
        </w:rPr>
        <w:t xml:space="preserve"> Article 35 </w:t>
      </w:r>
      <w:r w:rsidR="007639F7">
        <w:rPr>
          <w:rFonts w:ascii="Arial" w:hAnsi="Arial" w:cs="Arial"/>
          <w:color w:val="010000"/>
          <w:sz w:val="20"/>
        </w:rPr>
        <w:t>of Law on Securities No. 54</w:t>
      </w:r>
      <w:r w:rsidRPr="00C52280">
        <w:rPr>
          <w:rFonts w:ascii="Arial" w:hAnsi="Arial" w:cs="Arial"/>
          <w:color w:val="010000"/>
          <w:sz w:val="20"/>
        </w:rPr>
        <w:t>/2019/QH14 dated November 26, 2019, public tender offering procedures are not required.</w:t>
      </w:r>
    </w:p>
    <w:p w14:paraId="29865A06" w14:textId="77777777" w:rsidR="006E7806" w:rsidRPr="00C52280" w:rsidRDefault="008D2A6C" w:rsidP="007639F7">
      <w:pPr>
        <w:numPr>
          <w:ilvl w:val="0"/>
          <w:numId w:val="7"/>
        </w:numPr>
        <w:pBdr>
          <w:top w:val="nil"/>
          <w:left w:val="nil"/>
          <w:bottom w:val="nil"/>
          <w:right w:val="nil"/>
          <w:between w:val="nil"/>
        </w:pBdr>
        <w:tabs>
          <w:tab w:val="left" w:pos="432"/>
          <w:tab w:val="left" w:pos="1764"/>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Transfer restriction: Investors participating in buying shares are restricted from transfer for at least 01 </w:t>
      </w:r>
      <w:proofErr w:type="gramStart"/>
      <w:r w:rsidRPr="00C52280">
        <w:rPr>
          <w:rFonts w:ascii="Arial" w:hAnsi="Arial" w:cs="Arial"/>
          <w:color w:val="010000"/>
          <w:sz w:val="20"/>
        </w:rPr>
        <w:t>year</w:t>
      </w:r>
      <w:proofErr w:type="gramEnd"/>
      <w:r w:rsidRPr="00C52280">
        <w:rPr>
          <w:rFonts w:ascii="Arial" w:hAnsi="Arial" w:cs="Arial"/>
          <w:color w:val="010000"/>
          <w:sz w:val="20"/>
        </w:rPr>
        <w:t xml:space="preserve"> from the date of completion of the offering.</w:t>
      </w:r>
    </w:p>
    <w:p w14:paraId="22386B5A" w14:textId="54D89AFB" w:rsidR="006E7806" w:rsidRPr="00C52280" w:rsidRDefault="008D2A6C" w:rsidP="007639F7">
      <w:pPr>
        <w:numPr>
          <w:ilvl w:val="0"/>
          <w:numId w:val="7"/>
        </w:numPr>
        <w:pBdr>
          <w:top w:val="nil"/>
          <w:left w:val="nil"/>
          <w:bottom w:val="nil"/>
          <w:right w:val="nil"/>
          <w:between w:val="nil"/>
        </w:pBdr>
        <w:tabs>
          <w:tab w:val="left" w:pos="432"/>
          <w:tab w:val="left" w:pos="1764"/>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Expected time of the </w:t>
      </w:r>
      <w:r w:rsidR="007639F7">
        <w:rPr>
          <w:rFonts w:ascii="Arial" w:hAnsi="Arial" w:cs="Arial"/>
          <w:color w:val="010000"/>
          <w:sz w:val="20"/>
        </w:rPr>
        <w:t>issue</w:t>
      </w:r>
      <w:r w:rsidRPr="00C52280">
        <w:rPr>
          <w:rFonts w:ascii="Arial" w:hAnsi="Arial" w:cs="Arial"/>
          <w:color w:val="010000"/>
          <w:sz w:val="20"/>
        </w:rPr>
        <w:t xml:space="preserve">: Expected in 2024, after approval by the State Securities Commission. The </w:t>
      </w:r>
      <w:r w:rsidR="007639F7">
        <w:rPr>
          <w:rFonts w:ascii="Arial" w:hAnsi="Arial" w:cs="Arial"/>
          <w:color w:val="010000"/>
          <w:sz w:val="20"/>
        </w:rPr>
        <w:t>General Meeting</w:t>
      </w:r>
      <w:r w:rsidRPr="00C52280">
        <w:rPr>
          <w:rFonts w:ascii="Arial" w:hAnsi="Arial" w:cs="Arial"/>
          <w:color w:val="010000"/>
          <w:sz w:val="20"/>
        </w:rPr>
        <w:t xml:space="preserve"> authorizes the Board of Directors to decide on a specific time for sale in accordance with the actual situation of the securities market.</w:t>
      </w:r>
    </w:p>
    <w:p w14:paraId="697B26FF" w14:textId="77777777" w:rsidR="006E7806" w:rsidRPr="00C52280" w:rsidRDefault="008D2A6C" w:rsidP="007639F7">
      <w:pPr>
        <w:numPr>
          <w:ilvl w:val="0"/>
          <w:numId w:val="7"/>
        </w:numPr>
        <w:pBdr>
          <w:top w:val="nil"/>
          <w:left w:val="nil"/>
          <w:bottom w:val="nil"/>
          <w:right w:val="nil"/>
          <w:between w:val="nil"/>
        </w:pBdr>
        <w:tabs>
          <w:tab w:val="left" w:pos="432"/>
          <w:tab w:val="left" w:pos="1764"/>
        </w:tabs>
        <w:spacing w:after="120" w:line="360" w:lineRule="auto"/>
        <w:jc w:val="both"/>
        <w:rPr>
          <w:rFonts w:ascii="Arial" w:eastAsia="Arial" w:hAnsi="Arial" w:cs="Arial"/>
          <w:color w:val="010000"/>
          <w:sz w:val="20"/>
          <w:szCs w:val="20"/>
        </w:rPr>
      </w:pPr>
      <w:r w:rsidRPr="00C52280">
        <w:rPr>
          <w:rFonts w:ascii="Arial" w:hAnsi="Arial" w:cs="Arial"/>
          <w:color w:val="010000"/>
          <w:sz w:val="20"/>
        </w:rPr>
        <w:t>Plan on using capital obtained from the offering: Proceeds from the offering will be used for the following purposes:</w:t>
      </w:r>
    </w:p>
    <w:p w14:paraId="3493F388" w14:textId="77777777" w:rsidR="006E7806" w:rsidRPr="00C52280" w:rsidRDefault="008D2A6C" w:rsidP="007639F7">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Supplement capital for the business activities of Construction Corporation No.1 Joint Stock Company;</w:t>
      </w:r>
    </w:p>
    <w:p w14:paraId="2AF27BA7" w14:textId="77777777" w:rsidR="006E7806" w:rsidRPr="00C52280" w:rsidRDefault="008D2A6C" w:rsidP="007639F7">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Invest</w:t>
      </w:r>
      <w:r w:rsidR="00892F81" w:rsidRPr="00C52280">
        <w:rPr>
          <w:rFonts w:ascii="Arial" w:hAnsi="Arial" w:cs="Arial"/>
          <w:color w:val="010000"/>
          <w:sz w:val="20"/>
        </w:rPr>
        <w:t xml:space="preserve"> </w:t>
      </w:r>
      <w:r w:rsidRPr="00C52280">
        <w:rPr>
          <w:rFonts w:ascii="Arial" w:hAnsi="Arial" w:cs="Arial"/>
          <w:color w:val="010000"/>
          <w:sz w:val="20"/>
        </w:rPr>
        <w:t>in assets, machinery</w:t>
      </w:r>
      <w:r w:rsidR="00892F81" w:rsidRPr="00C52280">
        <w:rPr>
          <w:rFonts w:ascii="Arial" w:hAnsi="Arial" w:cs="Arial"/>
          <w:color w:val="010000"/>
          <w:sz w:val="20"/>
        </w:rPr>
        <w:t xml:space="preserve">, </w:t>
      </w:r>
      <w:r w:rsidRPr="00C52280">
        <w:rPr>
          <w:rFonts w:ascii="Arial" w:hAnsi="Arial" w:cs="Arial"/>
          <w:color w:val="010000"/>
          <w:sz w:val="20"/>
        </w:rPr>
        <w:t>equipment,</w:t>
      </w:r>
      <w:r w:rsidR="00892F81" w:rsidRPr="00C52280">
        <w:rPr>
          <w:rFonts w:ascii="Arial" w:hAnsi="Arial" w:cs="Arial"/>
          <w:color w:val="010000"/>
          <w:sz w:val="20"/>
        </w:rPr>
        <w:t xml:space="preserve"> and</w:t>
      </w:r>
      <w:r w:rsidRPr="00C52280">
        <w:rPr>
          <w:rFonts w:ascii="Arial" w:hAnsi="Arial" w:cs="Arial"/>
          <w:color w:val="010000"/>
          <w:sz w:val="20"/>
        </w:rPr>
        <w:t xml:space="preserve"> </w:t>
      </w:r>
      <w:r w:rsidR="00892F81" w:rsidRPr="00C52280">
        <w:rPr>
          <w:rFonts w:ascii="Arial" w:hAnsi="Arial" w:cs="Arial"/>
          <w:color w:val="010000"/>
          <w:sz w:val="20"/>
        </w:rPr>
        <w:t>construction tools and research</w:t>
      </w:r>
      <w:r w:rsidRPr="00C52280">
        <w:rPr>
          <w:rFonts w:ascii="Arial" w:hAnsi="Arial" w:cs="Arial"/>
          <w:color w:val="010000"/>
          <w:sz w:val="20"/>
        </w:rPr>
        <w:t xml:space="preserve"> the use of new materials in construction investment to improve construction capacity and quality, speed up construction progress, and reduce construction costs; and</w:t>
      </w:r>
    </w:p>
    <w:p w14:paraId="337E87F1" w14:textId="7FCE93AA" w:rsidR="006E7806" w:rsidRPr="00C52280" w:rsidRDefault="008D2A6C" w:rsidP="007639F7">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Improve the ability to expand and develop the business activities of Construction Corporation No.</w:t>
      </w:r>
      <w:r w:rsidR="007639F7">
        <w:rPr>
          <w:rFonts w:ascii="Arial" w:hAnsi="Arial" w:cs="Arial"/>
          <w:color w:val="010000"/>
          <w:sz w:val="20"/>
        </w:rPr>
        <w:t xml:space="preserve"> </w:t>
      </w:r>
      <w:r w:rsidRPr="00C52280">
        <w:rPr>
          <w:rFonts w:ascii="Arial" w:hAnsi="Arial" w:cs="Arial"/>
          <w:color w:val="010000"/>
          <w:sz w:val="20"/>
        </w:rPr>
        <w:t>1 Joint Stock Company.</w:t>
      </w:r>
    </w:p>
    <w:p w14:paraId="1831ECF7" w14:textId="36B9F205"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w:t>
      </w:r>
      <w:r w:rsidR="007639F7">
        <w:rPr>
          <w:rFonts w:ascii="Arial" w:hAnsi="Arial" w:cs="Arial"/>
          <w:color w:val="010000"/>
          <w:sz w:val="20"/>
        </w:rPr>
        <w:t>General Meeting</w:t>
      </w:r>
      <w:r w:rsidRPr="00C52280">
        <w:rPr>
          <w:rFonts w:ascii="Arial" w:hAnsi="Arial" w:cs="Arial"/>
          <w:color w:val="010000"/>
          <w:sz w:val="20"/>
        </w:rPr>
        <w:t xml:space="preserve"> authorize</w:t>
      </w:r>
      <w:r w:rsidR="00892F81" w:rsidRPr="00C52280">
        <w:rPr>
          <w:rFonts w:ascii="Arial" w:hAnsi="Arial" w:cs="Arial"/>
          <w:color w:val="010000"/>
          <w:sz w:val="20"/>
        </w:rPr>
        <w:t>s</w:t>
      </w:r>
      <w:r w:rsidRPr="00C52280">
        <w:rPr>
          <w:rFonts w:ascii="Arial" w:hAnsi="Arial" w:cs="Arial"/>
          <w:color w:val="010000"/>
          <w:sz w:val="20"/>
        </w:rPr>
        <w:t xml:space="preserve"> the Board of Directors to develop a detailed plan on using capital. At the same time, the </w:t>
      </w:r>
      <w:r w:rsidR="007639F7">
        <w:rPr>
          <w:rFonts w:ascii="Arial" w:hAnsi="Arial" w:cs="Arial"/>
          <w:color w:val="010000"/>
          <w:sz w:val="20"/>
        </w:rPr>
        <w:t>General Meeting</w:t>
      </w:r>
      <w:r w:rsidRPr="00C52280">
        <w:rPr>
          <w:rFonts w:ascii="Arial" w:hAnsi="Arial" w:cs="Arial"/>
          <w:color w:val="010000"/>
          <w:sz w:val="20"/>
        </w:rPr>
        <w:t xml:space="preserve"> allows the Board of Directors to flexibly allocate the proceeds for </w:t>
      </w:r>
      <w:r w:rsidRPr="00C52280">
        <w:rPr>
          <w:rFonts w:ascii="Arial" w:hAnsi="Arial" w:cs="Arial"/>
          <w:color w:val="010000"/>
          <w:sz w:val="20"/>
        </w:rPr>
        <w:lastRenderedPageBreak/>
        <w:t>the above purposes and/or amend, supplement, and adjust the plan on using capital in accordance with the situation of the business activities and the orientation on general strategic development of Construction Corporation No.1 Joint Stock Company and ensure the overall benefits of Construction Corporation No.1 Joint Stock Company and shareholders.</w:t>
      </w:r>
    </w:p>
    <w:p w14:paraId="4E5C6CFD" w14:textId="77777777" w:rsidR="006E7806" w:rsidRPr="00C52280" w:rsidRDefault="008D2A6C" w:rsidP="007639F7">
      <w:pPr>
        <w:numPr>
          <w:ilvl w:val="0"/>
          <w:numId w:val="7"/>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Registering and listing additionally issued shares: All additional issued shares will be registered for </w:t>
      </w:r>
      <w:r w:rsidR="00242CCB" w:rsidRPr="00C52280">
        <w:rPr>
          <w:rFonts w:ascii="Arial" w:hAnsi="Arial" w:cs="Arial"/>
          <w:color w:val="010000"/>
          <w:sz w:val="20"/>
        </w:rPr>
        <w:t xml:space="preserve">the </w:t>
      </w:r>
      <w:r w:rsidRPr="00C52280">
        <w:rPr>
          <w:rFonts w:ascii="Arial" w:hAnsi="Arial" w:cs="Arial"/>
          <w:color w:val="010000"/>
          <w:sz w:val="20"/>
        </w:rPr>
        <w:t>centralized depository and registered for additional listing in accordance with regulations.</w:t>
      </w:r>
    </w:p>
    <w:p w14:paraId="4ACDF4A9"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10. Approve the Proposal of the Board of Directors on approving the plan to offer treasury shares.</w:t>
      </w:r>
    </w:p>
    <w:p w14:paraId="5A2FCD90" w14:textId="77777777" w:rsidR="006E7806" w:rsidRPr="00C52280" w:rsidRDefault="008D2A6C" w:rsidP="007639F7">
      <w:pPr>
        <w:numPr>
          <w:ilvl w:val="0"/>
          <w:numId w:val="7"/>
        </w:numPr>
        <w:pBdr>
          <w:top w:val="nil"/>
          <w:left w:val="nil"/>
          <w:bottom w:val="nil"/>
          <w:right w:val="nil"/>
          <w:between w:val="nil"/>
        </w:pBdr>
        <w:tabs>
          <w:tab w:val="left" w:pos="432"/>
          <w:tab w:val="left" w:pos="1436"/>
        </w:tabs>
        <w:spacing w:after="120" w:line="360" w:lineRule="auto"/>
        <w:jc w:val="both"/>
        <w:rPr>
          <w:rFonts w:ascii="Arial" w:eastAsia="Arial" w:hAnsi="Arial" w:cs="Arial"/>
          <w:color w:val="010000"/>
          <w:sz w:val="20"/>
          <w:szCs w:val="20"/>
        </w:rPr>
      </w:pPr>
      <w:r w:rsidRPr="00C52280">
        <w:rPr>
          <w:rFonts w:ascii="Arial" w:hAnsi="Arial" w:cs="Arial"/>
          <w:color w:val="010000"/>
          <w:sz w:val="20"/>
        </w:rPr>
        <w:t>Share name: Shares of Construction Corporation No.1 Joint Stock Company</w:t>
      </w:r>
    </w:p>
    <w:p w14:paraId="76EDE2CD" w14:textId="77777777" w:rsidR="006E7806" w:rsidRPr="00C52280" w:rsidRDefault="008D2A6C" w:rsidP="007639F7">
      <w:pPr>
        <w:numPr>
          <w:ilvl w:val="0"/>
          <w:numId w:val="7"/>
        </w:numPr>
        <w:pBdr>
          <w:top w:val="nil"/>
          <w:left w:val="nil"/>
          <w:bottom w:val="nil"/>
          <w:right w:val="nil"/>
          <w:between w:val="nil"/>
        </w:pBdr>
        <w:tabs>
          <w:tab w:val="left" w:pos="432"/>
          <w:tab w:val="left" w:pos="1436"/>
        </w:tabs>
        <w:spacing w:after="120" w:line="360" w:lineRule="auto"/>
        <w:jc w:val="both"/>
        <w:rPr>
          <w:rFonts w:ascii="Arial" w:eastAsia="Arial" w:hAnsi="Arial" w:cs="Arial"/>
          <w:color w:val="010000"/>
          <w:sz w:val="20"/>
          <w:szCs w:val="20"/>
        </w:rPr>
      </w:pPr>
      <w:r w:rsidRPr="00C52280">
        <w:rPr>
          <w:rFonts w:ascii="Arial" w:hAnsi="Arial" w:cs="Arial"/>
          <w:color w:val="010000"/>
          <w:sz w:val="20"/>
        </w:rPr>
        <w:t>Share type: Common share</w:t>
      </w:r>
    </w:p>
    <w:p w14:paraId="1F22DC58" w14:textId="77777777" w:rsidR="006E7806" w:rsidRPr="00C52280" w:rsidRDefault="008D2A6C" w:rsidP="007639F7">
      <w:pPr>
        <w:numPr>
          <w:ilvl w:val="0"/>
          <w:numId w:val="7"/>
        </w:numPr>
        <w:pBdr>
          <w:top w:val="nil"/>
          <w:left w:val="nil"/>
          <w:bottom w:val="nil"/>
          <w:right w:val="nil"/>
          <w:between w:val="nil"/>
        </w:pBdr>
        <w:tabs>
          <w:tab w:val="left" w:pos="432"/>
          <w:tab w:val="left" w:pos="1436"/>
        </w:tabs>
        <w:spacing w:after="120" w:line="360" w:lineRule="auto"/>
        <w:jc w:val="both"/>
        <w:rPr>
          <w:rFonts w:ascii="Arial" w:eastAsia="Arial" w:hAnsi="Arial" w:cs="Arial"/>
          <w:color w:val="010000"/>
          <w:sz w:val="20"/>
          <w:szCs w:val="20"/>
        </w:rPr>
      </w:pPr>
      <w:r w:rsidRPr="00C52280">
        <w:rPr>
          <w:rFonts w:ascii="Arial" w:hAnsi="Arial" w:cs="Arial"/>
          <w:color w:val="010000"/>
          <w:sz w:val="20"/>
        </w:rPr>
        <w:t>Par value: VND 10,000/share</w:t>
      </w:r>
    </w:p>
    <w:p w14:paraId="176BD7D7" w14:textId="77777777" w:rsidR="00242CCB" w:rsidRPr="00C52280" w:rsidRDefault="008D2A6C" w:rsidP="007639F7">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C52280">
        <w:rPr>
          <w:rFonts w:ascii="Arial" w:hAnsi="Arial" w:cs="Arial"/>
          <w:color w:val="010000"/>
          <w:sz w:val="20"/>
        </w:rPr>
        <w:t>Total treasury shares held before transaction: 337,800 shares</w:t>
      </w:r>
    </w:p>
    <w:p w14:paraId="1F440B9B"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Total number of treasury shares registered to </w:t>
      </w:r>
      <w:r w:rsidR="00242CCB" w:rsidRPr="00C52280">
        <w:rPr>
          <w:rFonts w:ascii="Arial" w:hAnsi="Arial" w:cs="Arial"/>
          <w:color w:val="010000"/>
          <w:sz w:val="20"/>
        </w:rPr>
        <w:t>offer</w:t>
      </w:r>
      <w:r w:rsidRPr="00C52280">
        <w:rPr>
          <w:rFonts w:ascii="Arial" w:hAnsi="Arial" w:cs="Arial"/>
          <w:color w:val="010000"/>
          <w:sz w:val="20"/>
        </w:rPr>
        <w:t>: 337,800 shares</w:t>
      </w:r>
    </w:p>
    <w:p w14:paraId="107DEB24"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Purpose of selling treasury shares: Supplement capital for production and business activities </w:t>
      </w:r>
    </w:p>
    <w:p w14:paraId="49B26F89"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Expected transaction time: In 2024, after the State Securities Commission approved the registration dossier on </w:t>
      </w:r>
      <w:r w:rsidR="00242CCB" w:rsidRPr="00C52280">
        <w:rPr>
          <w:rFonts w:ascii="Arial" w:hAnsi="Arial" w:cs="Arial"/>
          <w:color w:val="010000"/>
          <w:sz w:val="20"/>
        </w:rPr>
        <w:t>offering</w:t>
      </w:r>
      <w:r w:rsidRPr="00C52280">
        <w:rPr>
          <w:rFonts w:ascii="Arial" w:hAnsi="Arial" w:cs="Arial"/>
          <w:color w:val="010000"/>
          <w:sz w:val="20"/>
        </w:rPr>
        <w:t xml:space="preserve"> treasury shares</w:t>
      </w:r>
      <w:r w:rsidR="00242CCB" w:rsidRPr="00C52280">
        <w:rPr>
          <w:rFonts w:ascii="Arial" w:hAnsi="Arial" w:cs="Arial"/>
          <w:color w:val="010000"/>
          <w:sz w:val="20"/>
        </w:rPr>
        <w:t xml:space="preserve"> and</w:t>
      </w:r>
      <w:r w:rsidRPr="00C52280">
        <w:rPr>
          <w:rFonts w:ascii="Arial" w:hAnsi="Arial" w:cs="Arial"/>
          <w:color w:val="010000"/>
          <w:sz w:val="20"/>
        </w:rPr>
        <w:t xml:space="preserve"> the Company disclosed information according to regulations. Transaction time must not exceed 30 days from the date the transaction begins.</w:t>
      </w:r>
    </w:p>
    <w:p w14:paraId="5D6DC218" w14:textId="77777777" w:rsidR="006E7806" w:rsidRPr="00C52280" w:rsidRDefault="00242CCB"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P</w:t>
      </w:r>
      <w:r w:rsidR="008D2A6C" w:rsidRPr="00C52280">
        <w:rPr>
          <w:rFonts w:ascii="Arial" w:hAnsi="Arial" w:cs="Arial"/>
          <w:color w:val="010000"/>
          <w:sz w:val="20"/>
        </w:rPr>
        <w:t>ayment</w:t>
      </w:r>
      <w:r w:rsidRPr="00C52280">
        <w:rPr>
          <w:rFonts w:ascii="Arial" w:hAnsi="Arial" w:cs="Arial"/>
          <w:color w:val="010000"/>
          <w:sz w:val="20"/>
        </w:rPr>
        <w:t xml:space="preserve"> method</w:t>
      </w:r>
      <w:r w:rsidR="008D2A6C" w:rsidRPr="00C52280">
        <w:rPr>
          <w:rFonts w:ascii="Arial" w:hAnsi="Arial" w:cs="Arial"/>
          <w:color w:val="010000"/>
          <w:sz w:val="20"/>
        </w:rPr>
        <w:t>: Put-through/order matching transaction through securities companies, in accordance with the provisions of law.</w:t>
      </w:r>
    </w:p>
    <w:p w14:paraId="56BBFF10" w14:textId="66146262" w:rsidR="006E7806" w:rsidRPr="00C52280" w:rsidRDefault="008D2A6C" w:rsidP="007639F7">
      <w:pPr>
        <w:numPr>
          <w:ilvl w:val="0"/>
          <w:numId w:val="7"/>
        </w:numPr>
        <w:pBdr>
          <w:top w:val="nil"/>
          <w:left w:val="nil"/>
          <w:bottom w:val="nil"/>
          <w:right w:val="nil"/>
          <w:between w:val="nil"/>
        </w:pBdr>
        <w:tabs>
          <w:tab w:val="left" w:pos="432"/>
          <w:tab w:val="left" w:pos="1436"/>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Number of daily sales: According to the provisions of </w:t>
      </w:r>
      <w:r w:rsidR="007639F7">
        <w:rPr>
          <w:rFonts w:ascii="Arial" w:hAnsi="Arial" w:cs="Arial"/>
          <w:color w:val="010000"/>
          <w:sz w:val="20"/>
        </w:rPr>
        <w:t>Section 3 Article 8 of</w:t>
      </w:r>
      <w:r w:rsidRPr="00C52280">
        <w:rPr>
          <w:rFonts w:ascii="Arial" w:hAnsi="Arial" w:cs="Arial"/>
          <w:color w:val="010000"/>
          <w:sz w:val="20"/>
        </w:rPr>
        <w:t xml:space="preserve"> Circular No. 120/2020/TT-BTC da</w:t>
      </w:r>
      <w:r w:rsidR="007639F7">
        <w:rPr>
          <w:rFonts w:ascii="Arial" w:hAnsi="Arial" w:cs="Arial"/>
          <w:color w:val="010000"/>
          <w:sz w:val="20"/>
        </w:rPr>
        <w:t>ted November 31, 2020 by</w:t>
      </w:r>
      <w:r w:rsidRPr="00C52280">
        <w:rPr>
          <w:rFonts w:ascii="Arial" w:hAnsi="Arial" w:cs="Arial"/>
          <w:color w:val="010000"/>
          <w:sz w:val="20"/>
        </w:rPr>
        <w:t xml:space="preserve"> the Ministry of Finance on guiding on transactions on the securities market, legal documents other relevant.</w:t>
      </w:r>
    </w:p>
    <w:p w14:paraId="0534FBAE"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Name of securities company assigned to be the agent to implement the treasury shares transaction: KB Securitie</w:t>
      </w:r>
      <w:r w:rsidR="00490127" w:rsidRPr="00C52280">
        <w:rPr>
          <w:rFonts w:ascii="Arial" w:hAnsi="Arial" w:cs="Arial"/>
          <w:color w:val="010000"/>
          <w:sz w:val="20"/>
        </w:rPr>
        <w:t>s Vietnam Joint Stock Company (</w:t>
      </w:r>
      <w:r w:rsidRPr="00C52280">
        <w:rPr>
          <w:rFonts w:ascii="Arial" w:hAnsi="Arial" w:cs="Arial"/>
          <w:color w:val="010000"/>
          <w:sz w:val="20"/>
        </w:rPr>
        <w:t>Ho Chi Minh Branch)</w:t>
      </w:r>
    </w:p>
    <w:p w14:paraId="5CA80725"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11. Approve the Proposal of the Board of Directors on listing shares on the Ho Chi Minh City Stock Exchange.</w:t>
      </w:r>
    </w:p>
    <w:p w14:paraId="3526F47A"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12. Approve the Proposal of the Board of Directors on approving the dismissal of members of the Board of Directors for the term 2021-2026.</w:t>
      </w:r>
    </w:p>
    <w:p w14:paraId="327DC496"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General Meeting approved the dismissal of Mr. Nguyen </w:t>
      </w:r>
      <w:proofErr w:type="spellStart"/>
      <w:r w:rsidRPr="00C52280">
        <w:rPr>
          <w:rFonts w:ascii="Arial" w:hAnsi="Arial" w:cs="Arial"/>
          <w:color w:val="010000"/>
          <w:sz w:val="20"/>
        </w:rPr>
        <w:t>Thien</w:t>
      </w:r>
      <w:proofErr w:type="spellEnd"/>
      <w:r w:rsidRPr="00C52280">
        <w:rPr>
          <w:rFonts w:ascii="Arial" w:hAnsi="Arial" w:cs="Arial"/>
          <w:color w:val="010000"/>
          <w:sz w:val="20"/>
        </w:rPr>
        <w:t xml:space="preserve"> Tam as a member of the Board of Directors for the term 2021-2026.</w:t>
      </w:r>
    </w:p>
    <w:p w14:paraId="1DEB8749"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13. Approve the Proposal of the Board of Directors on the list of nominations and candidates for additional members of the Board of Directors for the term 2021-2026.</w:t>
      </w:r>
    </w:p>
    <w:p w14:paraId="6FB1B85C"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The General Meeting approve</w:t>
      </w:r>
      <w:r w:rsidR="00CC2ED8" w:rsidRPr="00C52280">
        <w:rPr>
          <w:rFonts w:ascii="Arial" w:hAnsi="Arial" w:cs="Arial"/>
          <w:color w:val="010000"/>
          <w:sz w:val="20"/>
        </w:rPr>
        <w:t>d</w:t>
      </w:r>
      <w:r w:rsidRPr="00C52280">
        <w:rPr>
          <w:rFonts w:ascii="Arial" w:hAnsi="Arial" w:cs="Arial"/>
          <w:color w:val="010000"/>
          <w:sz w:val="20"/>
        </w:rPr>
        <w:t xml:space="preserve"> the list of nominations and candidates to elect additional members of the Board of Directors for the term 2021-2026 for Mr. Phan </w:t>
      </w:r>
      <w:proofErr w:type="spellStart"/>
      <w:r w:rsidRPr="00C52280">
        <w:rPr>
          <w:rFonts w:ascii="Arial" w:hAnsi="Arial" w:cs="Arial"/>
          <w:color w:val="010000"/>
          <w:sz w:val="20"/>
        </w:rPr>
        <w:t>Huu</w:t>
      </w:r>
      <w:proofErr w:type="spellEnd"/>
      <w:r w:rsidRPr="00C52280">
        <w:rPr>
          <w:rFonts w:ascii="Arial" w:hAnsi="Arial" w:cs="Arial"/>
          <w:color w:val="010000"/>
          <w:sz w:val="20"/>
        </w:rPr>
        <w:t xml:space="preserve"> Duy Quoc.</w:t>
      </w:r>
    </w:p>
    <w:p w14:paraId="0FFA8E25"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‎‎Article 14. Approve the Proposal of the Board of Directors on </w:t>
      </w:r>
      <w:r w:rsidR="00CC2ED8" w:rsidRPr="00C52280">
        <w:rPr>
          <w:rFonts w:ascii="Arial" w:hAnsi="Arial" w:cs="Arial"/>
          <w:color w:val="010000"/>
          <w:sz w:val="20"/>
        </w:rPr>
        <w:t>registering</w:t>
      </w:r>
      <w:r w:rsidRPr="00C52280">
        <w:rPr>
          <w:rFonts w:ascii="Arial" w:hAnsi="Arial" w:cs="Arial"/>
          <w:color w:val="010000"/>
          <w:sz w:val="20"/>
        </w:rPr>
        <w:t xml:space="preserve"> additional business lines of </w:t>
      </w:r>
      <w:r w:rsidRPr="00C52280">
        <w:rPr>
          <w:rFonts w:ascii="Arial" w:hAnsi="Arial" w:cs="Arial"/>
          <w:color w:val="010000"/>
          <w:sz w:val="20"/>
        </w:rPr>
        <w:lastRenderedPageBreak/>
        <w:t>Construction Corporation No.1 Joint Stock Company</w:t>
      </w:r>
    </w:p>
    <w:p w14:paraId="1A2BEA80"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15. Approve the Proposal of the Board of Directors on amending and supplementing the Charter of organization and operation of Construction Corporation No.1 Joint Stock Company.</w:t>
      </w:r>
    </w:p>
    <w:p w14:paraId="21CFE7CD"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16. Approve the Proposal of the Board of Directors on amending and supplementing the Internal Regulations and Operational Regulations of the Board of Directors.</w:t>
      </w:r>
    </w:p>
    <w:p w14:paraId="3FFC58E6"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17. Approve the election results of additional members of the Board of Directors for the term 2021-2026 as follows:</w:t>
      </w:r>
    </w:p>
    <w:p w14:paraId="4EEB3696"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Based on the results of vote counting; Regulations on nomination, candidacy, and additional election of members of the Board of Directors; The regulations for organizing the General Meeting have been approved and the Charter for organization and operation of Construction Corporation No.1 Joint Stock Company:</w:t>
      </w:r>
    </w:p>
    <w:p w14:paraId="3099F9D3"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Mr. Phan </w:t>
      </w:r>
      <w:proofErr w:type="spellStart"/>
      <w:r w:rsidRPr="00C52280">
        <w:rPr>
          <w:rFonts w:ascii="Arial" w:hAnsi="Arial" w:cs="Arial"/>
          <w:color w:val="010000"/>
          <w:sz w:val="20"/>
        </w:rPr>
        <w:t>Huu</w:t>
      </w:r>
      <w:proofErr w:type="spellEnd"/>
      <w:r w:rsidRPr="00C52280">
        <w:rPr>
          <w:rFonts w:ascii="Arial" w:hAnsi="Arial" w:cs="Arial"/>
          <w:color w:val="010000"/>
          <w:sz w:val="20"/>
        </w:rPr>
        <w:t xml:space="preserve"> Duy Quoc was elected as an independent member of the Board of Directors of Construction Corporation No.1 Joint Stock Company </w:t>
      </w:r>
    </w:p>
    <w:p w14:paraId="1E11EB9F"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The term of the elected Board of Directors member is the remaining period of the term 2021-2026.</w:t>
      </w:r>
    </w:p>
    <w:p w14:paraId="3088EFAE"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Board of Directors of Construction Corporation No.1 Joint Stock Company includes 05 members: </w:t>
      </w:r>
    </w:p>
    <w:p w14:paraId="105FB38A" w14:textId="77777777" w:rsidR="006E7806" w:rsidRPr="00C52280" w:rsidRDefault="008D2A6C" w:rsidP="007639F7">
      <w:pPr>
        <w:numPr>
          <w:ilvl w:val="0"/>
          <w:numId w:val="3"/>
        </w:numPr>
        <w:pBdr>
          <w:top w:val="nil"/>
          <w:left w:val="nil"/>
          <w:bottom w:val="nil"/>
          <w:right w:val="nil"/>
          <w:between w:val="nil"/>
        </w:pBdr>
        <w:tabs>
          <w:tab w:val="left" w:pos="155"/>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Mr. Nguyen Van </w:t>
      </w:r>
      <w:proofErr w:type="spellStart"/>
      <w:r w:rsidRPr="00C52280">
        <w:rPr>
          <w:rFonts w:ascii="Arial" w:hAnsi="Arial" w:cs="Arial"/>
          <w:color w:val="010000"/>
          <w:sz w:val="20"/>
        </w:rPr>
        <w:t>Huan</w:t>
      </w:r>
      <w:proofErr w:type="spellEnd"/>
      <w:r w:rsidRPr="00C52280">
        <w:rPr>
          <w:rFonts w:ascii="Arial" w:hAnsi="Arial" w:cs="Arial"/>
          <w:color w:val="010000"/>
          <w:sz w:val="20"/>
        </w:rPr>
        <w:t xml:space="preserve"> - Chair of the Board of Directors</w:t>
      </w:r>
    </w:p>
    <w:p w14:paraId="427779FE" w14:textId="77777777" w:rsidR="006E7806" w:rsidRPr="00C52280" w:rsidRDefault="008D2A6C" w:rsidP="007639F7">
      <w:pPr>
        <w:numPr>
          <w:ilvl w:val="0"/>
          <w:numId w:val="3"/>
        </w:numPr>
        <w:pBdr>
          <w:top w:val="nil"/>
          <w:left w:val="nil"/>
          <w:bottom w:val="nil"/>
          <w:right w:val="nil"/>
          <w:between w:val="nil"/>
        </w:pBdr>
        <w:tabs>
          <w:tab w:val="left" w:pos="160"/>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Mr. Le </w:t>
      </w:r>
      <w:proofErr w:type="spellStart"/>
      <w:r w:rsidRPr="00C52280">
        <w:rPr>
          <w:rFonts w:ascii="Arial" w:hAnsi="Arial" w:cs="Arial"/>
          <w:color w:val="010000"/>
          <w:sz w:val="20"/>
        </w:rPr>
        <w:t>Bao</w:t>
      </w:r>
      <w:proofErr w:type="spellEnd"/>
      <w:r w:rsidRPr="00C52280">
        <w:rPr>
          <w:rFonts w:ascii="Arial" w:hAnsi="Arial" w:cs="Arial"/>
          <w:color w:val="010000"/>
          <w:sz w:val="20"/>
        </w:rPr>
        <w:t xml:space="preserve"> Anh - Deputy Chair of the Board of Directors, the General Manager</w:t>
      </w:r>
    </w:p>
    <w:p w14:paraId="7C8FDC56" w14:textId="77777777" w:rsidR="006E7806" w:rsidRPr="00C52280" w:rsidRDefault="008D2A6C" w:rsidP="007639F7">
      <w:pPr>
        <w:numPr>
          <w:ilvl w:val="0"/>
          <w:numId w:val="3"/>
        </w:numPr>
        <w:pBdr>
          <w:top w:val="nil"/>
          <w:left w:val="nil"/>
          <w:bottom w:val="nil"/>
          <w:right w:val="nil"/>
          <w:between w:val="nil"/>
        </w:pBdr>
        <w:tabs>
          <w:tab w:val="left" w:pos="155"/>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Mr. Phan Van Chinh - Deputy Chair of the Board of Directors</w:t>
      </w:r>
    </w:p>
    <w:p w14:paraId="3604D1FE" w14:textId="77777777" w:rsidR="006E7806" w:rsidRPr="00C52280" w:rsidRDefault="008D2A6C" w:rsidP="007639F7">
      <w:pPr>
        <w:numPr>
          <w:ilvl w:val="0"/>
          <w:numId w:val="3"/>
        </w:numPr>
        <w:pBdr>
          <w:top w:val="nil"/>
          <w:left w:val="nil"/>
          <w:bottom w:val="nil"/>
          <w:right w:val="nil"/>
          <w:between w:val="nil"/>
        </w:pBdr>
        <w:tabs>
          <w:tab w:val="left" w:pos="150"/>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Mr. Nguyen Thanh </w:t>
      </w:r>
      <w:proofErr w:type="spellStart"/>
      <w:r w:rsidRPr="00C52280">
        <w:rPr>
          <w:rFonts w:ascii="Arial" w:hAnsi="Arial" w:cs="Arial"/>
          <w:color w:val="010000"/>
          <w:sz w:val="20"/>
        </w:rPr>
        <w:t>Vinh</w:t>
      </w:r>
      <w:proofErr w:type="spellEnd"/>
      <w:r w:rsidRPr="00C52280">
        <w:rPr>
          <w:rFonts w:ascii="Arial" w:hAnsi="Arial" w:cs="Arial"/>
          <w:color w:val="010000"/>
          <w:sz w:val="20"/>
        </w:rPr>
        <w:t xml:space="preserve"> - Independent member of the Board of Directors</w:t>
      </w:r>
    </w:p>
    <w:p w14:paraId="71F8D5C3" w14:textId="77777777" w:rsidR="006E7806" w:rsidRPr="00C52280" w:rsidRDefault="008D2A6C" w:rsidP="007639F7">
      <w:pPr>
        <w:numPr>
          <w:ilvl w:val="0"/>
          <w:numId w:val="3"/>
        </w:numPr>
        <w:pBdr>
          <w:top w:val="nil"/>
          <w:left w:val="nil"/>
          <w:bottom w:val="nil"/>
          <w:right w:val="nil"/>
          <w:between w:val="nil"/>
        </w:pBdr>
        <w:tabs>
          <w:tab w:val="left" w:pos="150"/>
          <w:tab w:val="left" w:pos="432"/>
        </w:tabs>
        <w:spacing w:after="120" w:line="360" w:lineRule="auto"/>
        <w:ind w:left="0" w:firstLine="0"/>
        <w:jc w:val="both"/>
        <w:rPr>
          <w:rFonts w:ascii="Arial" w:eastAsia="Arial" w:hAnsi="Arial" w:cs="Arial"/>
          <w:color w:val="010000"/>
          <w:sz w:val="20"/>
          <w:szCs w:val="20"/>
        </w:rPr>
      </w:pPr>
      <w:r w:rsidRPr="00C52280">
        <w:rPr>
          <w:rFonts w:ascii="Arial" w:hAnsi="Arial" w:cs="Arial"/>
          <w:color w:val="010000"/>
          <w:sz w:val="20"/>
        </w:rPr>
        <w:t xml:space="preserve">Mr. Phan </w:t>
      </w:r>
      <w:proofErr w:type="spellStart"/>
      <w:r w:rsidRPr="00C52280">
        <w:rPr>
          <w:rFonts w:ascii="Arial" w:hAnsi="Arial" w:cs="Arial"/>
          <w:color w:val="010000"/>
          <w:sz w:val="20"/>
        </w:rPr>
        <w:t>Huu</w:t>
      </w:r>
      <w:proofErr w:type="spellEnd"/>
      <w:r w:rsidRPr="00C52280">
        <w:rPr>
          <w:rFonts w:ascii="Arial" w:hAnsi="Arial" w:cs="Arial"/>
          <w:color w:val="010000"/>
          <w:sz w:val="20"/>
        </w:rPr>
        <w:t xml:space="preserve"> Duy Quoc - Independent member of the Board of Directors.</w:t>
      </w:r>
    </w:p>
    <w:p w14:paraId="722D8788" w14:textId="77777777"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‎‎Article 18. Terms enforcement:</w:t>
      </w:r>
    </w:p>
    <w:p w14:paraId="57B5699C" w14:textId="41DFF0EB"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full text of this General Mandate was approved by the Annual </w:t>
      </w:r>
      <w:r w:rsidR="007639F7">
        <w:rPr>
          <w:rFonts w:ascii="Arial" w:hAnsi="Arial" w:cs="Arial"/>
          <w:color w:val="010000"/>
          <w:sz w:val="20"/>
        </w:rPr>
        <w:t>General Meeting</w:t>
      </w:r>
      <w:r w:rsidRPr="00C52280">
        <w:rPr>
          <w:rFonts w:ascii="Arial" w:hAnsi="Arial" w:cs="Arial"/>
          <w:color w:val="010000"/>
          <w:sz w:val="20"/>
        </w:rPr>
        <w:t xml:space="preserve"> 2024 at the Meeting and takes effect from the date of its signing.</w:t>
      </w:r>
    </w:p>
    <w:p w14:paraId="65A17397" w14:textId="092F9CC5" w:rsidR="006E7806" w:rsidRPr="00C52280" w:rsidRDefault="008D2A6C" w:rsidP="007639F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280">
        <w:rPr>
          <w:rFonts w:ascii="Arial" w:hAnsi="Arial" w:cs="Arial"/>
          <w:color w:val="010000"/>
          <w:sz w:val="20"/>
        </w:rPr>
        <w:t xml:space="preserve">The Annual </w:t>
      </w:r>
      <w:r w:rsidR="007639F7">
        <w:rPr>
          <w:rFonts w:ascii="Arial" w:hAnsi="Arial" w:cs="Arial"/>
          <w:color w:val="010000"/>
          <w:sz w:val="20"/>
        </w:rPr>
        <w:t>General Meeting</w:t>
      </w:r>
      <w:r w:rsidRPr="00C52280">
        <w:rPr>
          <w:rFonts w:ascii="Arial" w:hAnsi="Arial" w:cs="Arial"/>
          <w:color w:val="010000"/>
          <w:sz w:val="20"/>
        </w:rPr>
        <w:t xml:space="preserve"> 2024 of Construction Corporation No.1 Joint Stock Company assigned the Board of Directors to </w:t>
      </w:r>
      <w:r w:rsidR="007639F7">
        <w:rPr>
          <w:rFonts w:ascii="Arial" w:hAnsi="Arial" w:cs="Arial"/>
          <w:color w:val="010000"/>
          <w:sz w:val="20"/>
        </w:rPr>
        <w:t>direct</w:t>
      </w:r>
      <w:r w:rsidRPr="00C52280">
        <w:rPr>
          <w:rFonts w:ascii="Arial" w:hAnsi="Arial" w:cs="Arial"/>
          <w:color w:val="010000"/>
          <w:sz w:val="20"/>
        </w:rPr>
        <w:t xml:space="preserve"> and supervise the Board of Management to fully implement the contents of this General Mandate </w:t>
      </w:r>
      <w:r w:rsidR="00CC2ED8" w:rsidRPr="00C52280">
        <w:rPr>
          <w:rFonts w:ascii="Arial" w:hAnsi="Arial" w:cs="Arial"/>
          <w:color w:val="010000"/>
          <w:sz w:val="20"/>
        </w:rPr>
        <w:t>based on</w:t>
      </w:r>
      <w:r w:rsidRPr="00C52280">
        <w:rPr>
          <w:rFonts w:ascii="Arial" w:hAnsi="Arial" w:cs="Arial"/>
          <w:color w:val="010000"/>
          <w:sz w:val="20"/>
        </w:rPr>
        <w:t xml:space="preserve"> ensuring the highest benefits for Construction Corporation No.1 Joint Stock Company, shareholders and </w:t>
      </w:r>
      <w:r w:rsidR="007639F7">
        <w:rPr>
          <w:rFonts w:ascii="Arial" w:hAnsi="Arial" w:cs="Arial"/>
          <w:color w:val="010000"/>
          <w:sz w:val="20"/>
        </w:rPr>
        <w:t>under applicable laws</w:t>
      </w:r>
      <w:bookmarkStart w:id="0" w:name="_GoBack"/>
      <w:bookmarkEnd w:id="0"/>
      <w:r w:rsidRPr="00C52280">
        <w:rPr>
          <w:rFonts w:ascii="Arial" w:hAnsi="Arial" w:cs="Arial"/>
          <w:color w:val="010000"/>
          <w:sz w:val="20"/>
        </w:rPr>
        <w:t xml:space="preserve"> and the Charter of Construction Corporation No.1 Joint Stock Company.</w:t>
      </w:r>
    </w:p>
    <w:sectPr w:rsidR="006E7806" w:rsidRPr="00C52280" w:rsidSect="00C5228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771"/>
    <w:multiLevelType w:val="multilevel"/>
    <w:tmpl w:val="AB1E3566"/>
    <w:lvl w:ilvl="0">
      <w:start w:val="2"/>
      <w:numFmt w:val="decimal"/>
      <w:lvlText w:val="%1"/>
      <w:lvlJc w:val="left"/>
      <w:pPr>
        <w:ind w:left="360" w:hanging="360"/>
      </w:pPr>
      <w:rPr>
        <w:b w:val="0"/>
        <w:i w:val="0"/>
        <w:sz w:val="20"/>
      </w:rPr>
    </w:lvl>
    <w:lvl w:ilvl="1">
      <w:start w:val="1"/>
      <w:numFmt w:val="decimal"/>
      <w:lvlText w:val="%1.%2"/>
      <w:lvlJc w:val="left"/>
      <w:pPr>
        <w:ind w:left="1080" w:hanging="360"/>
      </w:pPr>
      <w:rPr>
        <w:b w:val="0"/>
        <w:i w:val="0"/>
        <w:sz w:val="20"/>
      </w:rPr>
    </w:lvl>
    <w:lvl w:ilvl="2">
      <w:start w:val="1"/>
      <w:numFmt w:val="decimal"/>
      <w:lvlText w:val="%1.%2.%3"/>
      <w:lvlJc w:val="left"/>
      <w:pPr>
        <w:ind w:left="2160" w:hanging="720"/>
      </w:pPr>
      <w:rPr>
        <w:b w:val="0"/>
        <w:i w:val="0"/>
        <w:sz w:val="2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01434D5"/>
    <w:multiLevelType w:val="multilevel"/>
    <w:tmpl w:val="EEB05B0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E514AB"/>
    <w:multiLevelType w:val="multilevel"/>
    <w:tmpl w:val="E116890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6E1013"/>
    <w:multiLevelType w:val="multilevel"/>
    <w:tmpl w:val="0DC20C50"/>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67AB6"/>
    <w:multiLevelType w:val="multilevel"/>
    <w:tmpl w:val="B3BCDDC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B0F436F"/>
    <w:multiLevelType w:val="multilevel"/>
    <w:tmpl w:val="3A62528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B2643B"/>
    <w:multiLevelType w:val="multilevel"/>
    <w:tmpl w:val="D92851B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6"/>
    <w:rsid w:val="00242CCB"/>
    <w:rsid w:val="00490127"/>
    <w:rsid w:val="006E7806"/>
    <w:rsid w:val="007639F7"/>
    <w:rsid w:val="00892F81"/>
    <w:rsid w:val="008D2A6C"/>
    <w:rsid w:val="00C52280"/>
    <w:rsid w:val="00CC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01C6E"/>
  <w15:docId w15:val="{E506BEAF-B8A5-41DD-A01C-C038DF80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w w:val="80"/>
      <w:sz w:val="17"/>
      <w:szCs w:val="17"/>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u w:val="none"/>
      <w:shd w:val="clear" w:color="auto" w:fill="auto"/>
    </w:rPr>
  </w:style>
  <w:style w:type="paragraph" w:customStyle="1" w:styleId="Vnbnnidung20">
    <w:name w:val="Văn bản nội dung (2)"/>
    <w:basedOn w:val="Normal"/>
    <w:link w:val="Vnbnnidung2"/>
    <w:pPr>
      <w:spacing w:line="276" w:lineRule="auto"/>
      <w:ind w:left="198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right"/>
    </w:pPr>
    <w:rPr>
      <w:rFonts w:ascii="Times New Roman" w:eastAsia="Times New Roman" w:hAnsi="Times New Roman" w:cs="Times New Roman"/>
      <w:b/>
      <w:bCs/>
      <w:w w:val="80"/>
      <w:sz w:val="17"/>
      <w:szCs w:val="17"/>
    </w:rPr>
  </w:style>
  <w:style w:type="paragraph" w:customStyle="1" w:styleId="Khc0">
    <w:name w:val="Khác"/>
    <w:basedOn w:val="Normal"/>
    <w:link w:val="Khc"/>
    <w:pPr>
      <w:spacing w:line="391" w:lineRule="auto"/>
    </w:pPr>
    <w:rPr>
      <w:rFonts w:ascii="Times New Roman" w:eastAsia="Times New Roman" w:hAnsi="Times New Roman" w:cs="Times New Roman"/>
    </w:rPr>
  </w:style>
  <w:style w:type="paragraph" w:customStyle="1" w:styleId="Mclc0">
    <w:name w:val="Mục lục"/>
    <w:basedOn w:val="Normal"/>
    <w:link w:val="Mclc"/>
    <w:pPr>
      <w:spacing w:line="290" w:lineRule="auto"/>
      <w:ind w:left="1460"/>
    </w:pPr>
    <w:rPr>
      <w:rFonts w:ascii="Times New Roman" w:eastAsia="Times New Roman" w:hAnsi="Times New Roman" w:cs="Times New Roman"/>
      <w:sz w:val="26"/>
      <w:szCs w:val="26"/>
    </w:rPr>
  </w:style>
  <w:style w:type="paragraph" w:customStyle="1" w:styleId="Vnbnnidung0">
    <w:name w:val="Văn bản nội dung"/>
    <w:basedOn w:val="Normal"/>
    <w:link w:val="Vnbnnidung"/>
    <w:pPr>
      <w:spacing w:line="391" w:lineRule="auto"/>
    </w:pPr>
    <w:rPr>
      <w:rFonts w:ascii="Times New Roman" w:eastAsia="Times New Roman" w:hAnsi="Times New Roman" w:cs="Times New Roman"/>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Chthchbng0">
    <w:name w:val="Chú thích bảng"/>
    <w:basedOn w:val="Normal"/>
    <w:link w:val="Chthchbng"/>
    <w:rPr>
      <w:rFonts w:ascii="Times New Roman" w:eastAsia="Times New Roman" w:hAnsi="Times New Roman" w:cs="Times New Roman"/>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jtmJN0ap5Uja0YXoYXuVD9BQQ==">CgMxLjA4AHIhMS1VRzl4T3dqbWxhaWZKdEZvdUhnWjc2VVVGRXBwRUhh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B6FB45-95D9-4C72-B128-00CADF8E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Duc Quan</dc:creator>
  <cp:lastModifiedBy>Nguyen Duc Quan</cp:lastModifiedBy>
  <cp:revision>2</cp:revision>
  <dcterms:created xsi:type="dcterms:W3CDTF">2024-06-03T03:03:00Z</dcterms:created>
  <dcterms:modified xsi:type="dcterms:W3CDTF">2024-06-03T03:03:00Z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6ecd29b46bb7d1e8e2cbd3cdea8ec57d11052455356a56d933983966f58db759</vt:lpwstr>
  </property>
</Properties>
</file>