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5A0F">
        <w:rPr>
          <w:rFonts w:ascii="Arial" w:hAnsi="Arial" w:cs="Arial"/>
          <w:b/>
          <w:color w:val="010000"/>
          <w:sz w:val="20"/>
        </w:rPr>
        <w:t>BSR: Board Resolution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On May 30, 2024, </w:t>
      </w:r>
      <w:proofErr w:type="spellStart"/>
      <w:r w:rsidRPr="005D5A0F">
        <w:rPr>
          <w:rFonts w:ascii="Arial" w:hAnsi="Arial" w:cs="Arial"/>
          <w:color w:val="010000"/>
          <w:sz w:val="20"/>
        </w:rPr>
        <w:t>Binh</w:t>
      </w:r>
      <w:proofErr w:type="spellEnd"/>
      <w:r w:rsidRPr="005D5A0F">
        <w:rPr>
          <w:rFonts w:ascii="Arial" w:hAnsi="Arial" w:cs="Arial"/>
          <w:color w:val="010000"/>
          <w:sz w:val="20"/>
        </w:rPr>
        <w:t xml:space="preserve"> Son Refining and Petrochemical Joint Stock Company announced Resolution No.</w:t>
      </w:r>
      <w:r w:rsidR="00FC70DB" w:rsidRPr="005D5A0F">
        <w:rPr>
          <w:rFonts w:ascii="Arial" w:hAnsi="Arial" w:cs="Arial"/>
          <w:color w:val="010000"/>
          <w:sz w:val="20"/>
        </w:rPr>
        <w:t xml:space="preserve"> </w:t>
      </w:r>
      <w:r w:rsidRPr="005D5A0F">
        <w:rPr>
          <w:rFonts w:ascii="Arial" w:hAnsi="Arial" w:cs="Arial"/>
          <w:color w:val="010000"/>
          <w:sz w:val="20"/>
        </w:rPr>
        <w:t xml:space="preserve">1690/NQ-BSR on approving the plan </w:t>
      </w:r>
      <w:r w:rsidR="00A45289">
        <w:rPr>
          <w:rFonts w:ascii="Arial" w:hAnsi="Arial" w:cs="Arial"/>
          <w:color w:val="010000"/>
          <w:sz w:val="20"/>
        </w:rPr>
        <w:t>for</w:t>
      </w:r>
      <w:r w:rsidRPr="005D5A0F">
        <w:rPr>
          <w:rFonts w:ascii="Arial" w:hAnsi="Arial" w:cs="Arial"/>
          <w:color w:val="010000"/>
          <w:sz w:val="20"/>
        </w:rPr>
        <w:t xml:space="preserve"> production and business activities 2024 of </w:t>
      </w:r>
      <w:proofErr w:type="spellStart"/>
      <w:r w:rsidRPr="005D5A0F">
        <w:rPr>
          <w:rFonts w:ascii="Arial" w:hAnsi="Arial" w:cs="Arial"/>
          <w:color w:val="010000"/>
          <w:sz w:val="20"/>
        </w:rPr>
        <w:t>Binh</w:t>
      </w:r>
      <w:proofErr w:type="spellEnd"/>
      <w:r w:rsidRPr="005D5A0F">
        <w:rPr>
          <w:rFonts w:ascii="Arial" w:hAnsi="Arial" w:cs="Arial"/>
          <w:color w:val="010000"/>
          <w:sz w:val="20"/>
        </w:rPr>
        <w:t xml:space="preserve"> Son Refining and Petrochemical Joint Stock Company as follows: 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‎‎Article 1. Assign tasks on the Plan </w:t>
      </w:r>
      <w:r w:rsidR="00A45289">
        <w:rPr>
          <w:rFonts w:ascii="Arial" w:hAnsi="Arial" w:cs="Arial"/>
          <w:color w:val="010000"/>
          <w:sz w:val="20"/>
        </w:rPr>
        <w:t>for</w:t>
      </w:r>
      <w:r w:rsidRPr="005D5A0F">
        <w:rPr>
          <w:rFonts w:ascii="Arial" w:hAnsi="Arial" w:cs="Arial"/>
          <w:color w:val="010000"/>
          <w:sz w:val="20"/>
        </w:rPr>
        <w:t xml:space="preserve"> production and business activities 2024 of </w:t>
      </w:r>
      <w:proofErr w:type="spellStart"/>
      <w:r w:rsidRPr="005D5A0F">
        <w:rPr>
          <w:rFonts w:ascii="Arial" w:hAnsi="Arial" w:cs="Arial"/>
          <w:color w:val="010000"/>
          <w:sz w:val="20"/>
        </w:rPr>
        <w:t>Binh</w:t>
      </w:r>
      <w:proofErr w:type="spellEnd"/>
      <w:r w:rsidRPr="005D5A0F">
        <w:rPr>
          <w:rFonts w:ascii="Arial" w:hAnsi="Arial" w:cs="Arial"/>
          <w:color w:val="010000"/>
          <w:sz w:val="20"/>
        </w:rPr>
        <w:t xml:space="preserve"> Son Refining and Petrochemical Joint Stock Company for the General Manager with the following contents: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I. Plan targets 2024: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1 Production and </w:t>
      </w:r>
      <w:r w:rsidR="00D004EA" w:rsidRPr="005D5A0F">
        <w:rPr>
          <w:rFonts w:ascii="Arial" w:hAnsi="Arial" w:cs="Arial"/>
          <w:color w:val="010000"/>
          <w:sz w:val="20"/>
        </w:rPr>
        <w:t>sale</w:t>
      </w:r>
      <w:r w:rsidRPr="005D5A0F">
        <w:rPr>
          <w:rFonts w:ascii="Arial" w:hAnsi="Arial" w:cs="Arial"/>
          <w:color w:val="010000"/>
          <w:sz w:val="20"/>
        </w:rPr>
        <w:t xml:space="preserve"> </w:t>
      </w:r>
      <w:r w:rsidR="00D004EA" w:rsidRPr="005D5A0F">
        <w:rPr>
          <w:rFonts w:ascii="Arial" w:hAnsi="Arial" w:cs="Arial"/>
          <w:color w:val="010000"/>
          <w:sz w:val="20"/>
        </w:rPr>
        <w:t>output</w:t>
      </w:r>
      <w:r w:rsidRPr="005D5A0F">
        <w:rPr>
          <w:rFonts w:ascii="Arial" w:hAnsi="Arial" w:cs="Arial"/>
          <w:color w:val="010000"/>
          <w:sz w:val="20"/>
        </w:rPr>
        <w:t xml:space="preserve"> targets</w:t>
      </w: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704"/>
        <w:gridCol w:w="2597"/>
        <w:gridCol w:w="793"/>
        <w:gridCol w:w="2458"/>
        <w:gridCol w:w="2465"/>
      </w:tblGrid>
      <w:tr w:rsidR="00EF5169" w:rsidRPr="005D5A0F" w:rsidTr="004A5D3F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Production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D004EA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Sale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Polypropylene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134,485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134,485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LPG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382,703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382,703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E5 RON 92 gasoline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37,388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37,388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91/92 gasoline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588,013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588,013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95 gasoline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1,731,823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1,731,823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Jet AI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417,652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417,652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Diesel Oil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2,281,113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2,281,113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Fuel Oil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151,557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84,466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Sulfur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3,000</w:t>
            </w:r>
          </w:p>
        </w:tc>
      </w:tr>
      <w:tr w:rsidR="00EF5169" w:rsidRPr="005D5A0F" w:rsidTr="004A5D3F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Tons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5,727,735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5,660,644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2 Company-wide financial plan (Consolidated)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3416"/>
        <w:gridCol w:w="2458"/>
        <w:gridCol w:w="2453"/>
      </w:tblGrid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95,274.4</w:t>
            </w:r>
          </w:p>
        </w:tc>
      </w:tr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1,291.3</w:t>
            </w:r>
          </w:p>
        </w:tc>
      </w:tr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1,148.2</w:t>
            </w:r>
          </w:p>
        </w:tc>
      </w:tr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Payable to the State Budget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10,597.6</w:t>
            </w:r>
          </w:p>
        </w:tc>
      </w:tr>
      <w:tr w:rsidR="00EF5169" w:rsidRPr="005D5A0F" w:rsidTr="00507C65">
        <w:tc>
          <w:tcPr>
            <w:tcW w:w="3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Average labor productivity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D004EA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>VND/person/month</w:t>
            </w:r>
          </w:p>
        </w:tc>
        <w:tc>
          <w:tcPr>
            <w:tcW w:w="136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3 Holding Company plan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A) Financial plan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3637"/>
        <w:gridCol w:w="2449"/>
        <w:gridCol w:w="2390"/>
      </w:tblGrid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56,302.6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+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In which: - Charter capital at the end of </w:t>
            </w:r>
            <w:r w:rsidR="00D004EA" w:rsidRPr="005D5A0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5D5A0F">
              <w:rPr>
                <w:rFonts w:ascii="Arial" w:hAnsi="Arial" w:cs="Arial"/>
                <w:color w:val="010000"/>
                <w:sz w:val="20"/>
              </w:rPr>
              <w:t>period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31,005.0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+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Attendance rate of the Corporation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92.1%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95,079.8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1,420.9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1,278.8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Profit after tax/owner’s equity 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2.3%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tax/charter capital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4.1%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Debt to charter capital rate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Times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&lt;3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Dividend payment /charter capital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3.0%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4A5D3F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Dividend payment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930.1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Dividend/profit contributed to the Corporation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856.9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Dividend payment for other shareholders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73.3</w:t>
            </w:r>
          </w:p>
        </w:tc>
      </w:tr>
      <w:tr w:rsidR="00EF5169" w:rsidRPr="005D5A0F" w:rsidTr="00507C65">
        <w:tc>
          <w:tcPr>
            <w:tcW w:w="3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20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Payable to the </w:t>
            </w:r>
            <w:r w:rsidR="00D004EA" w:rsidRPr="005D5A0F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135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10,585.6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b) Plan on investment capital 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"/>
        <w:gridCol w:w="3511"/>
        <w:gridCol w:w="2415"/>
        <w:gridCol w:w="2386"/>
      </w:tblGrid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investment capital needs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1,336.7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Investment </w:t>
            </w:r>
            <w:r w:rsidR="00D004EA" w:rsidRPr="005D5A0F">
              <w:rPr>
                <w:rFonts w:ascii="Arial" w:hAnsi="Arial" w:cs="Arial"/>
                <w:color w:val="010000"/>
                <w:sz w:val="20"/>
              </w:rPr>
              <w:t>in</w:t>
            </w:r>
            <w:r w:rsidRPr="005D5A0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D004EA" w:rsidRPr="005D5A0F">
              <w:rPr>
                <w:rFonts w:ascii="Arial" w:hAnsi="Arial" w:cs="Arial"/>
                <w:color w:val="010000"/>
                <w:sz w:val="20"/>
              </w:rPr>
              <w:t>capital</w:t>
            </w:r>
            <w:r w:rsidRPr="005D5A0F">
              <w:rPr>
                <w:rFonts w:ascii="Arial" w:hAnsi="Arial" w:cs="Arial"/>
                <w:color w:val="010000"/>
                <w:sz w:val="20"/>
              </w:rPr>
              <w:t xml:space="preserve"> construction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994.3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Equipment/Fixed assets</w:t>
            </w:r>
            <w:r w:rsidR="00FC70DB" w:rsidRPr="005D5A0F">
              <w:rPr>
                <w:rFonts w:ascii="Arial" w:hAnsi="Arial" w:cs="Arial"/>
                <w:color w:val="010000"/>
                <w:sz w:val="20"/>
              </w:rPr>
              <w:t xml:space="preserve"> purchasing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342.4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Investment capital source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1,336.7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1,336.7</w:t>
            </w:r>
          </w:p>
        </w:tc>
      </w:tr>
      <w:tr w:rsidR="00EF5169" w:rsidRPr="005D5A0F" w:rsidTr="00507C65">
        <w:tc>
          <w:tcPr>
            <w:tcW w:w="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9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Other loans capital </w:t>
            </w:r>
          </w:p>
        </w:tc>
        <w:tc>
          <w:tcPr>
            <w:tcW w:w="13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Notes:</w:t>
      </w:r>
    </w:p>
    <w:p w:rsidR="00EF5169" w:rsidRPr="005D5A0F" w:rsidRDefault="00856214" w:rsidP="004A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The General Manager often reviews/assesses, </w:t>
      </w:r>
      <w:r w:rsidR="00D004EA" w:rsidRPr="005D5A0F">
        <w:rPr>
          <w:rFonts w:ascii="Arial" w:hAnsi="Arial" w:cs="Arial"/>
          <w:color w:val="010000"/>
          <w:sz w:val="20"/>
        </w:rPr>
        <w:t xml:space="preserve">and </w:t>
      </w:r>
      <w:r w:rsidRPr="005D5A0F">
        <w:rPr>
          <w:rFonts w:ascii="Arial" w:hAnsi="Arial" w:cs="Arial"/>
          <w:color w:val="010000"/>
          <w:sz w:val="20"/>
        </w:rPr>
        <w:t xml:space="preserve">arranges categories of investment for </w:t>
      </w:r>
      <w:r w:rsidR="00D004EA" w:rsidRPr="005D5A0F">
        <w:rPr>
          <w:rFonts w:ascii="Arial" w:hAnsi="Arial" w:cs="Arial"/>
          <w:color w:val="010000"/>
          <w:sz w:val="20"/>
        </w:rPr>
        <w:t>capital</w:t>
      </w:r>
      <w:r w:rsidRPr="005D5A0F">
        <w:rPr>
          <w:rFonts w:ascii="Arial" w:hAnsi="Arial" w:cs="Arial"/>
          <w:color w:val="010000"/>
          <w:sz w:val="20"/>
        </w:rPr>
        <w:t xml:space="preserve"> construction and equipment purchasing and fixed assets following to the necessary priority order.</w:t>
      </w:r>
      <w:r w:rsidR="008E500A" w:rsidRPr="005D5A0F">
        <w:rPr>
          <w:rFonts w:ascii="Arial" w:hAnsi="Arial" w:cs="Arial"/>
          <w:color w:val="010000"/>
          <w:sz w:val="20"/>
        </w:rPr>
        <w:t xml:space="preserve"> </w:t>
      </w:r>
      <w:r w:rsidRPr="005D5A0F">
        <w:rPr>
          <w:rFonts w:ascii="Arial" w:hAnsi="Arial" w:cs="Arial"/>
          <w:color w:val="010000"/>
          <w:sz w:val="20"/>
        </w:rPr>
        <w:t xml:space="preserve">Construct </w:t>
      </w:r>
      <w:r w:rsidR="00D004EA" w:rsidRPr="005D5A0F">
        <w:rPr>
          <w:rFonts w:ascii="Arial" w:hAnsi="Arial" w:cs="Arial"/>
          <w:color w:val="010000"/>
          <w:sz w:val="20"/>
        </w:rPr>
        <w:t xml:space="preserve">a </w:t>
      </w:r>
      <w:r w:rsidRPr="005D5A0F">
        <w:rPr>
          <w:rFonts w:ascii="Arial" w:hAnsi="Arial" w:cs="Arial"/>
          <w:color w:val="010000"/>
          <w:sz w:val="20"/>
        </w:rPr>
        <w:t xml:space="preserve">plan on balancing specifically for each category of investment for </w:t>
      </w:r>
      <w:r w:rsidR="00D004EA" w:rsidRPr="005D5A0F">
        <w:rPr>
          <w:rFonts w:ascii="Arial" w:hAnsi="Arial" w:cs="Arial"/>
          <w:color w:val="010000"/>
          <w:sz w:val="20"/>
        </w:rPr>
        <w:t>capital</w:t>
      </w:r>
      <w:r w:rsidRPr="005D5A0F">
        <w:rPr>
          <w:rFonts w:ascii="Arial" w:hAnsi="Arial" w:cs="Arial"/>
          <w:color w:val="010000"/>
          <w:sz w:val="20"/>
        </w:rPr>
        <w:t xml:space="preserve"> construction and equipment purchasing and fixed assets in accordance with </w:t>
      </w:r>
      <w:r w:rsidR="00D004EA" w:rsidRPr="005D5A0F">
        <w:rPr>
          <w:rFonts w:ascii="Arial" w:hAnsi="Arial" w:cs="Arial"/>
          <w:color w:val="010000"/>
          <w:sz w:val="20"/>
        </w:rPr>
        <w:t xml:space="preserve">the </w:t>
      </w:r>
      <w:r w:rsidRPr="005D5A0F">
        <w:rPr>
          <w:rFonts w:ascii="Arial" w:hAnsi="Arial" w:cs="Arial"/>
          <w:color w:val="010000"/>
          <w:sz w:val="20"/>
        </w:rPr>
        <w:t xml:space="preserve">financial ability of the Company, ensuring compliance with regulations, </w:t>
      </w:r>
      <w:r w:rsidR="00D004EA" w:rsidRPr="005D5A0F">
        <w:rPr>
          <w:rFonts w:ascii="Arial" w:hAnsi="Arial" w:cs="Arial"/>
          <w:color w:val="010000"/>
          <w:sz w:val="20"/>
        </w:rPr>
        <w:t>laws</w:t>
      </w:r>
      <w:r w:rsidRPr="005D5A0F">
        <w:rPr>
          <w:rFonts w:ascii="Arial" w:hAnsi="Arial" w:cs="Arial"/>
          <w:color w:val="010000"/>
          <w:sz w:val="20"/>
        </w:rPr>
        <w:t xml:space="preserve">. </w:t>
      </w:r>
    </w:p>
    <w:p w:rsidR="00EF5169" w:rsidRPr="005D5A0F" w:rsidRDefault="00856214" w:rsidP="004A5D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Only implement investment for </w:t>
      </w:r>
      <w:r w:rsidR="00D004EA" w:rsidRPr="005D5A0F">
        <w:rPr>
          <w:rFonts w:ascii="Arial" w:hAnsi="Arial" w:cs="Arial"/>
          <w:color w:val="010000"/>
          <w:sz w:val="20"/>
        </w:rPr>
        <w:t>capital</w:t>
      </w:r>
      <w:r w:rsidRPr="005D5A0F">
        <w:rPr>
          <w:rFonts w:ascii="Arial" w:hAnsi="Arial" w:cs="Arial"/>
          <w:color w:val="010000"/>
          <w:sz w:val="20"/>
        </w:rPr>
        <w:t xml:space="preserve"> construction and equipment purchasing and fixed assets </w:t>
      </w:r>
      <w:r w:rsidRPr="005D5A0F">
        <w:rPr>
          <w:rFonts w:ascii="Arial" w:hAnsi="Arial" w:cs="Arial"/>
          <w:color w:val="010000"/>
          <w:sz w:val="20"/>
        </w:rPr>
        <w:lastRenderedPageBreak/>
        <w:t>after finishing procedures in accordance wi</w:t>
      </w:r>
      <w:r w:rsidR="00D004EA" w:rsidRPr="005D5A0F">
        <w:rPr>
          <w:rFonts w:ascii="Arial" w:hAnsi="Arial" w:cs="Arial"/>
          <w:color w:val="010000"/>
          <w:sz w:val="20"/>
        </w:rPr>
        <w:t>th regulations of the State, and Laws</w:t>
      </w:r>
      <w:r w:rsidRPr="005D5A0F">
        <w:rPr>
          <w:rFonts w:ascii="Arial" w:hAnsi="Arial" w:cs="Arial"/>
          <w:color w:val="010000"/>
          <w:sz w:val="20"/>
        </w:rPr>
        <w:t>.</w:t>
      </w:r>
      <w:r w:rsidR="008E500A" w:rsidRPr="005D5A0F">
        <w:rPr>
          <w:rFonts w:ascii="Arial" w:hAnsi="Arial" w:cs="Arial"/>
          <w:color w:val="010000"/>
          <w:sz w:val="20"/>
        </w:rPr>
        <w:t xml:space="preserve"> </w:t>
      </w:r>
      <w:r w:rsidRPr="005D5A0F">
        <w:rPr>
          <w:rFonts w:ascii="Arial" w:hAnsi="Arial" w:cs="Arial"/>
          <w:color w:val="010000"/>
          <w:sz w:val="20"/>
        </w:rPr>
        <w:t xml:space="preserve">Take responsibility for efficiency, progress of investment implementation, production and business, preservation and development of capital. 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4</w:t>
      </w:r>
      <w:r w:rsidR="00D004EA" w:rsidRPr="005D5A0F">
        <w:rPr>
          <w:rFonts w:ascii="Arial" w:hAnsi="Arial" w:cs="Arial"/>
          <w:color w:val="010000"/>
          <w:sz w:val="20"/>
        </w:rPr>
        <w:t>.</w:t>
      </w:r>
      <w:r w:rsidRPr="005D5A0F">
        <w:rPr>
          <w:rFonts w:ascii="Arial" w:hAnsi="Arial" w:cs="Arial"/>
          <w:color w:val="010000"/>
          <w:sz w:val="20"/>
        </w:rPr>
        <w:t xml:space="preserve"> Cost plan</w:t>
      </w:r>
    </w:p>
    <w:tbl>
      <w:tblPr>
        <w:tblStyle w:val="a3"/>
        <w:tblW w:w="5000" w:type="pct"/>
        <w:jc w:val="center"/>
        <w:tblLook w:val="0000" w:firstRow="0" w:lastRow="0" w:firstColumn="0" w:lastColumn="0" w:noHBand="0" w:noVBand="0"/>
      </w:tblPr>
      <w:tblGrid>
        <w:gridCol w:w="765"/>
        <w:gridCol w:w="3383"/>
        <w:gridCol w:w="2283"/>
        <w:gridCol w:w="2586"/>
      </w:tblGrid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Factory price</w:t>
            </w:r>
          </w:p>
        </w:tc>
        <w:tc>
          <w:tcPr>
            <w:tcW w:w="126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Polypropylene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27.52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FC70DB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L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>PG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14.00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E5 RON 92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17.60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91/92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17.17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95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17.46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Jet AI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15.43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Diesel Oil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14.64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Fuel Oil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9.68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D004EA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Sale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 xml:space="preserve"> costs (including selling costs and management costs)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Polypropylene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27.84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LPG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14.23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E5 RON 92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17.83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91/92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17.39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RON 95 gasoline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17.68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Jet AI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15.66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Diesel Oil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14.85</w:t>
            </w:r>
          </w:p>
        </w:tc>
      </w:tr>
      <w:tr w:rsidR="00EF5169" w:rsidRPr="005D5A0F" w:rsidTr="00A45289">
        <w:trPr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A4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Fuel Oil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Million VND/ton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9.82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>Notes: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- Crude oil price in Plan on </w:t>
      </w:r>
      <w:r w:rsidR="00D004EA" w:rsidRPr="005D5A0F">
        <w:rPr>
          <w:rFonts w:ascii="Arial" w:hAnsi="Arial" w:cs="Arial"/>
          <w:color w:val="010000"/>
          <w:sz w:val="20"/>
        </w:rPr>
        <w:t>Production</w:t>
      </w:r>
      <w:r w:rsidRPr="005D5A0F">
        <w:rPr>
          <w:rFonts w:ascii="Arial" w:hAnsi="Arial" w:cs="Arial"/>
          <w:color w:val="010000"/>
          <w:sz w:val="20"/>
        </w:rPr>
        <w:t xml:space="preserve"> and business activities 2024 is USD 70/</w:t>
      </w:r>
      <w:r w:rsidR="00D004EA" w:rsidRPr="005D5A0F">
        <w:rPr>
          <w:rFonts w:ascii="Arial" w:hAnsi="Arial" w:cs="Arial"/>
          <w:color w:val="010000"/>
          <w:sz w:val="20"/>
        </w:rPr>
        <w:t>barrel</w:t>
      </w:r>
      <w:r w:rsidRPr="005D5A0F">
        <w:rPr>
          <w:rFonts w:ascii="Arial" w:hAnsi="Arial" w:cs="Arial"/>
          <w:color w:val="010000"/>
          <w:sz w:val="20"/>
        </w:rPr>
        <w:t>.</w:t>
      </w:r>
      <w:r w:rsidR="008E500A" w:rsidRPr="005D5A0F">
        <w:rPr>
          <w:rFonts w:ascii="Arial" w:hAnsi="Arial" w:cs="Arial"/>
          <w:color w:val="010000"/>
          <w:sz w:val="20"/>
        </w:rPr>
        <w:t xml:space="preserve"> </w:t>
      </w:r>
      <w:r w:rsidRPr="005D5A0F">
        <w:rPr>
          <w:rFonts w:ascii="Arial" w:hAnsi="Arial" w:cs="Arial"/>
          <w:color w:val="010000"/>
          <w:sz w:val="20"/>
        </w:rPr>
        <w:t>The exchange rate is VND 23,500/USD.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II. Plan on total revenue, profit, </w:t>
      </w:r>
      <w:r w:rsidR="00D004EA" w:rsidRPr="005D5A0F">
        <w:rPr>
          <w:rFonts w:ascii="Arial" w:hAnsi="Arial" w:cs="Arial"/>
          <w:color w:val="010000"/>
          <w:sz w:val="20"/>
        </w:rPr>
        <w:t xml:space="preserve">and </w:t>
      </w:r>
      <w:r w:rsidRPr="005D5A0F">
        <w:rPr>
          <w:rFonts w:ascii="Arial" w:hAnsi="Arial" w:cs="Arial"/>
          <w:color w:val="010000"/>
          <w:sz w:val="20"/>
        </w:rPr>
        <w:t xml:space="preserve">payables to the State budget 2024 of </w:t>
      </w:r>
      <w:proofErr w:type="spellStart"/>
      <w:r w:rsidRPr="005D5A0F">
        <w:rPr>
          <w:rFonts w:ascii="Arial" w:hAnsi="Arial" w:cs="Arial"/>
          <w:color w:val="010000"/>
          <w:sz w:val="20"/>
        </w:rPr>
        <w:t>Binh</w:t>
      </w:r>
      <w:proofErr w:type="spellEnd"/>
      <w:r w:rsidRPr="005D5A0F">
        <w:rPr>
          <w:rFonts w:ascii="Arial" w:hAnsi="Arial" w:cs="Arial"/>
          <w:color w:val="010000"/>
          <w:sz w:val="20"/>
        </w:rPr>
        <w:t xml:space="preserve"> Son Refining and Petrochemical Joint Stock Company (BSR) 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389"/>
        <w:gridCol w:w="3511"/>
        <w:gridCol w:w="1721"/>
        <w:gridCol w:w="1841"/>
        <w:gridCol w:w="1555"/>
      </w:tblGrid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D004EA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>otal revenue, profit, payables to the State budget of the whole Company (Consolidated)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95,274.4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1,291.3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1,148.2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Payable to the S</w:t>
            </w:r>
            <w:r w:rsidR="00D004EA" w:rsidRPr="005D5A0F">
              <w:rPr>
                <w:rFonts w:ascii="Arial" w:hAnsi="Arial" w:cs="Arial"/>
                <w:color w:val="010000"/>
                <w:sz w:val="20"/>
              </w:rPr>
              <w:t>t</w:t>
            </w:r>
            <w:r w:rsidRPr="005D5A0F">
              <w:rPr>
                <w:rFonts w:ascii="Arial" w:hAnsi="Arial" w:cs="Arial"/>
                <w:color w:val="010000"/>
                <w:sz w:val="20"/>
              </w:rPr>
              <w:t>ate Budget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10,597.6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Average labor productivity (according to revenue)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343AA8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Billion 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>VND/person/month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Direct production and business activities of the Holding Company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Revenue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95,072.5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Expenses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93,659.0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1,413.6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1,272.2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Payable to the </w:t>
            </w:r>
            <w:r w:rsidR="00343AA8" w:rsidRPr="005D5A0F">
              <w:rPr>
                <w:rFonts w:ascii="Arial" w:hAnsi="Arial" w:cs="Arial"/>
                <w:color w:val="010000"/>
                <w:sz w:val="20"/>
              </w:rPr>
              <w:t>State budget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10,585.6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Activities of the subsidiaries</w:t>
            </w: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Vietnam Central Biofuels Joint Stock Company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1,132.4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- The contribution capital rate of the Holding Company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61.0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Revenue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Total profit after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-136.7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Revenue appropriated and contributed to the Holding Company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0.0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Petro Vietnam Building and Commercial JSC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175.2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The contribution capital rate of the Holding Company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83.3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Revenue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568.0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Total profit after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12.7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Revenue appropriated and contributed to the Holding Company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7.1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Targets of the Holding Company - BSR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lastRenderedPageBreak/>
              <w:t>I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Owners’ equity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56,302.6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31,005.0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Attendance rate of the Corporation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92.12%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95,079.6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Direct revenue of the Holding Company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95,072.5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Revenue from subsidiaries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7.1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Total expenses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93,659.0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91,374.7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Selling expense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883.0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Administrative expense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547.5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853.8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Provision for financial investment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V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Interests (Loss)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1,420.7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EF5169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VI</w:t>
            </w:r>
          </w:p>
        </w:tc>
        <w:tc>
          <w:tcPr>
            <w:tcW w:w="478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Financial handling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1,420.7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142.1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1,278.6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Appropriation for funds from profit after tax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2,970.2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43AA8" w:rsidRPr="005D5A0F" w:rsidRDefault="00343AA8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General Mandate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 xml:space="preserve"> No.1575/NQ- BSR dated May 23, 2024</w:t>
            </w:r>
          </w:p>
          <w:p w:rsidR="00EF5169" w:rsidRPr="005D5A0F" w:rsidRDefault="00EF5169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Investment and development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2,626.5</w:t>
            </w: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Bonus and welfare fund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343.7</w:t>
            </w: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Contribute to the Corporation from Results on production and business activities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2,102.2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Brand management costs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102.9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Notice No. 1975/DKVN- TCKT dated March 27, 2024</w:t>
            </w: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Profit dividend contributed to the Corporation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1,999.3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lastRenderedPageBreak/>
              <w:t>6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FC70DB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D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 xml:space="preserve">ividend/profit for the Holding Company recorded in </w:t>
            </w:r>
            <w:r w:rsidR="00343AA8" w:rsidRPr="005D5A0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 xml:space="preserve">Financial Revenue of the Holding Company PVN in the plan year.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Profit from the previous periods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 Profit from results on production and business 2023 prepaid in 2023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EF5169" w:rsidP="00DC4E6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3AA8" w:rsidRPr="005D5A0F" w:rsidTr="00507C6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4A5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Dividend payment rate from business results 2023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856214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>7.0%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F5169" w:rsidRPr="005D5A0F" w:rsidRDefault="00343AA8" w:rsidP="00DC4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5D5A0F">
              <w:rPr>
                <w:rFonts w:ascii="Arial" w:hAnsi="Arial" w:cs="Arial"/>
                <w:color w:val="010000"/>
                <w:sz w:val="20"/>
              </w:rPr>
              <w:t xml:space="preserve">General Mandate </w:t>
            </w:r>
            <w:r w:rsidR="00856214" w:rsidRPr="005D5A0F">
              <w:rPr>
                <w:rFonts w:ascii="Arial" w:hAnsi="Arial" w:cs="Arial"/>
                <w:color w:val="010000"/>
                <w:sz w:val="20"/>
              </w:rPr>
              <w:t>No.1575/NQ- BSR dated May 23, 2024</w:t>
            </w:r>
          </w:p>
        </w:tc>
      </w:tr>
    </w:tbl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‎‎Article 2. The General Manager takes responsibility for directing Functional Departments, Branches, </w:t>
      </w:r>
      <w:r w:rsidR="00D004EA" w:rsidRPr="005D5A0F">
        <w:rPr>
          <w:rFonts w:ascii="Arial" w:hAnsi="Arial" w:cs="Arial"/>
          <w:color w:val="010000"/>
          <w:sz w:val="20"/>
        </w:rPr>
        <w:t xml:space="preserve">and </w:t>
      </w:r>
      <w:r w:rsidRPr="005D5A0F">
        <w:rPr>
          <w:rFonts w:ascii="Arial" w:hAnsi="Arial" w:cs="Arial"/>
          <w:color w:val="010000"/>
          <w:sz w:val="20"/>
        </w:rPr>
        <w:t xml:space="preserve">the Representative of BSR in other enterprises and affiliated units to implement </w:t>
      </w:r>
      <w:r w:rsidR="00D004EA" w:rsidRPr="005D5A0F">
        <w:rPr>
          <w:rFonts w:ascii="Arial" w:hAnsi="Arial" w:cs="Arial"/>
          <w:color w:val="010000"/>
          <w:sz w:val="20"/>
        </w:rPr>
        <w:t xml:space="preserve">the </w:t>
      </w:r>
      <w:r w:rsidRPr="005D5A0F">
        <w:rPr>
          <w:rFonts w:ascii="Arial" w:hAnsi="Arial" w:cs="Arial"/>
          <w:color w:val="010000"/>
          <w:sz w:val="20"/>
        </w:rPr>
        <w:t xml:space="preserve">next tasks exactly </w:t>
      </w:r>
      <w:r w:rsidR="00126E0F">
        <w:rPr>
          <w:rFonts w:ascii="Arial" w:hAnsi="Arial" w:cs="Arial"/>
          <w:color w:val="010000"/>
          <w:sz w:val="20"/>
        </w:rPr>
        <w:t>following</w:t>
      </w:r>
      <w:r w:rsidRPr="005D5A0F">
        <w:rPr>
          <w:rFonts w:ascii="Arial" w:hAnsi="Arial" w:cs="Arial"/>
          <w:color w:val="010000"/>
          <w:sz w:val="20"/>
        </w:rPr>
        <w:t xml:space="preserve"> </w:t>
      </w:r>
      <w:r w:rsidR="00D004EA" w:rsidRPr="005D5A0F">
        <w:rPr>
          <w:rFonts w:ascii="Arial" w:hAnsi="Arial" w:cs="Arial"/>
          <w:color w:val="010000"/>
          <w:sz w:val="20"/>
        </w:rPr>
        <w:t xml:space="preserve">the </w:t>
      </w:r>
      <w:r w:rsidRPr="005D5A0F">
        <w:rPr>
          <w:rFonts w:ascii="Arial" w:hAnsi="Arial" w:cs="Arial"/>
          <w:color w:val="010000"/>
          <w:sz w:val="20"/>
        </w:rPr>
        <w:t xml:space="preserve">contents approved in Article 1, ensuring compliance with current regulations. 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5D5A0F">
        <w:rPr>
          <w:rFonts w:ascii="Arial" w:hAnsi="Arial" w:cs="Arial"/>
          <w:color w:val="010000"/>
          <w:sz w:val="20"/>
        </w:rPr>
        <w:t>‎‎Article 3. This Resolution takes effect from the date of its signing and replaces Resolution No.</w:t>
      </w:r>
      <w:r w:rsidR="005D5A0F" w:rsidRPr="005D5A0F">
        <w:rPr>
          <w:rFonts w:ascii="Arial" w:hAnsi="Arial" w:cs="Arial"/>
          <w:color w:val="010000"/>
          <w:sz w:val="20"/>
        </w:rPr>
        <w:t xml:space="preserve"> </w:t>
      </w:r>
      <w:r w:rsidRPr="005D5A0F">
        <w:rPr>
          <w:rFonts w:ascii="Arial" w:hAnsi="Arial" w:cs="Arial"/>
          <w:color w:val="010000"/>
          <w:sz w:val="20"/>
        </w:rPr>
        <w:t>43/NQ-BSR dated January 08, 2024</w:t>
      </w:r>
      <w:r w:rsidR="00126E0F">
        <w:rPr>
          <w:rFonts w:ascii="Arial" w:hAnsi="Arial" w:cs="Arial"/>
          <w:color w:val="010000"/>
          <w:sz w:val="20"/>
        </w:rPr>
        <w:t>,</w:t>
      </w:r>
      <w:r w:rsidRPr="005D5A0F">
        <w:rPr>
          <w:rFonts w:ascii="Arial" w:hAnsi="Arial" w:cs="Arial"/>
          <w:color w:val="010000"/>
          <w:sz w:val="20"/>
        </w:rPr>
        <w:t xml:space="preserve"> on approving the temporary Plan </w:t>
      </w:r>
      <w:r w:rsidR="00126E0F">
        <w:rPr>
          <w:rFonts w:ascii="Arial" w:hAnsi="Arial" w:cs="Arial"/>
          <w:color w:val="010000"/>
          <w:sz w:val="20"/>
        </w:rPr>
        <w:t>for</w:t>
      </w:r>
      <w:bookmarkStart w:id="1" w:name="_GoBack"/>
      <w:bookmarkEnd w:id="1"/>
      <w:r w:rsidRPr="005D5A0F">
        <w:rPr>
          <w:rFonts w:ascii="Arial" w:hAnsi="Arial" w:cs="Arial"/>
          <w:color w:val="010000"/>
          <w:sz w:val="20"/>
        </w:rPr>
        <w:t xml:space="preserve"> production and business activities 2024 of </w:t>
      </w:r>
      <w:proofErr w:type="spellStart"/>
      <w:r w:rsidRPr="005D5A0F">
        <w:rPr>
          <w:rFonts w:ascii="Arial" w:hAnsi="Arial" w:cs="Arial"/>
          <w:color w:val="010000"/>
          <w:sz w:val="20"/>
        </w:rPr>
        <w:t>Binh</w:t>
      </w:r>
      <w:proofErr w:type="spellEnd"/>
      <w:r w:rsidRPr="005D5A0F">
        <w:rPr>
          <w:rFonts w:ascii="Arial" w:hAnsi="Arial" w:cs="Arial"/>
          <w:color w:val="010000"/>
          <w:sz w:val="20"/>
        </w:rPr>
        <w:t xml:space="preserve"> Son Refining and Petrochemical Joint Stock Company. </w:t>
      </w:r>
    </w:p>
    <w:p w:rsidR="00EF5169" w:rsidRPr="005D5A0F" w:rsidRDefault="00856214" w:rsidP="004A5D3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5A0F">
        <w:rPr>
          <w:rFonts w:ascii="Arial" w:hAnsi="Arial" w:cs="Arial"/>
          <w:color w:val="010000"/>
          <w:sz w:val="20"/>
        </w:rPr>
        <w:t xml:space="preserve">‎‎Article 4. The General Manager, </w:t>
      </w:r>
      <w:r w:rsidR="00D004EA" w:rsidRPr="005D5A0F">
        <w:rPr>
          <w:rFonts w:ascii="Arial" w:hAnsi="Arial" w:cs="Arial"/>
          <w:color w:val="010000"/>
          <w:sz w:val="20"/>
        </w:rPr>
        <w:t xml:space="preserve">the </w:t>
      </w:r>
      <w:r w:rsidRPr="005D5A0F">
        <w:rPr>
          <w:rFonts w:ascii="Arial" w:hAnsi="Arial" w:cs="Arial"/>
          <w:color w:val="010000"/>
          <w:sz w:val="20"/>
        </w:rPr>
        <w:t xml:space="preserve">Deputy General Managers, the Factory’s Board of Directors, </w:t>
      </w:r>
      <w:r w:rsidR="00D004EA" w:rsidRPr="005D5A0F">
        <w:rPr>
          <w:rFonts w:ascii="Arial" w:hAnsi="Arial" w:cs="Arial"/>
          <w:color w:val="010000"/>
          <w:sz w:val="20"/>
        </w:rPr>
        <w:t xml:space="preserve">the </w:t>
      </w:r>
      <w:r w:rsidRPr="005D5A0F">
        <w:rPr>
          <w:rFonts w:ascii="Arial" w:hAnsi="Arial" w:cs="Arial"/>
          <w:color w:val="010000"/>
          <w:sz w:val="20"/>
        </w:rPr>
        <w:t>person in charge of corporate governance, the Chief of staff, the Heads of Functional Departments</w:t>
      </w:r>
      <w:r w:rsidR="00D004EA" w:rsidRPr="005D5A0F">
        <w:rPr>
          <w:rFonts w:ascii="Arial" w:hAnsi="Arial" w:cs="Arial"/>
          <w:color w:val="010000"/>
          <w:sz w:val="20"/>
        </w:rPr>
        <w:t xml:space="preserve"> and branches</w:t>
      </w:r>
      <w:r w:rsidRPr="005D5A0F">
        <w:rPr>
          <w:rFonts w:ascii="Arial" w:hAnsi="Arial" w:cs="Arial"/>
          <w:color w:val="010000"/>
          <w:sz w:val="20"/>
        </w:rPr>
        <w:t xml:space="preserve"> belonging to the Company</w:t>
      </w:r>
      <w:r w:rsidR="005D5A0F" w:rsidRPr="005D5A0F">
        <w:rPr>
          <w:rFonts w:ascii="Arial" w:hAnsi="Arial" w:cs="Arial"/>
          <w:color w:val="010000"/>
          <w:sz w:val="20"/>
        </w:rPr>
        <w:t>,</w:t>
      </w:r>
      <w:r w:rsidRPr="005D5A0F">
        <w:rPr>
          <w:rFonts w:ascii="Arial" w:hAnsi="Arial" w:cs="Arial"/>
          <w:color w:val="010000"/>
          <w:sz w:val="20"/>
        </w:rPr>
        <w:t xml:space="preserve"> and the Representative of BSR in other enterprises take responsibility for implementing this Resolution./.</w:t>
      </w:r>
    </w:p>
    <w:sectPr w:rsidR="00EF5169" w:rsidRPr="005D5A0F" w:rsidSect="00507C6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CCF"/>
    <w:multiLevelType w:val="multilevel"/>
    <w:tmpl w:val="3A94B15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5E686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9"/>
    <w:rsid w:val="00126E0F"/>
    <w:rsid w:val="00343AA8"/>
    <w:rsid w:val="004A5D3F"/>
    <w:rsid w:val="00507C65"/>
    <w:rsid w:val="005D5A0F"/>
    <w:rsid w:val="00856214"/>
    <w:rsid w:val="008E500A"/>
    <w:rsid w:val="00A45289"/>
    <w:rsid w:val="00D004EA"/>
    <w:rsid w:val="00DC4E60"/>
    <w:rsid w:val="00EF5169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DBAB7B-314C-4980-9835-EB6DE0B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676B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676B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/>
      <w:iCs/>
      <w:smallCaps w:val="0"/>
      <w:strike w:val="0"/>
      <w:color w:val="5D676B"/>
      <w:sz w:val="15"/>
      <w:szCs w:val="15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color w:val="5D676B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color w:val="5D676B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firstLine="490"/>
    </w:pPr>
    <w:rPr>
      <w:rFonts w:ascii="Arial" w:eastAsia="Arial" w:hAnsi="Arial" w:cs="Arial"/>
      <w:i/>
      <w:iCs/>
      <w:color w:val="5D676B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ablecaption">
    <w:name w:val="Table caption_"/>
    <w:basedOn w:val="DefaultParagraphFont"/>
    <w:link w:val="Tablecaption0"/>
    <w:rsid w:val="005235C9"/>
    <w:rPr>
      <w:rFonts w:ascii="Times New Roman" w:eastAsia="Times New Roman" w:hAnsi="Times New Roman" w:cs="Times New Roman"/>
      <w:b/>
      <w:bCs/>
      <w:color w:val="5E686A"/>
      <w:sz w:val="26"/>
      <w:szCs w:val="26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5235C9"/>
    <w:rPr>
      <w:rFonts w:ascii="Times New Roman" w:eastAsia="Times New Roman" w:hAnsi="Times New Roman" w:cs="Times New Roman"/>
      <w:color w:val="5E686A"/>
      <w:sz w:val="26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5235C9"/>
    <w:rPr>
      <w:rFonts w:ascii="Times New Roman" w:eastAsia="Times New Roman" w:hAnsi="Times New Roman" w:cs="Times New Roman"/>
      <w:color w:val="5E686A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235C9"/>
    <w:rPr>
      <w:rFonts w:ascii="Arial" w:eastAsia="Arial" w:hAnsi="Arial" w:cs="Arial"/>
      <w:i/>
      <w:iCs/>
      <w:color w:val="5E686A"/>
      <w:sz w:val="15"/>
      <w:szCs w:val="15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5235C9"/>
    <w:rPr>
      <w:rFonts w:ascii="Times New Roman" w:eastAsia="Times New Roman" w:hAnsi="Times New Roman" w:cs="Times New Roman"/>
      <w:b/>
      <w:bCs/>
      <w:color w:val="5E686A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35C9"/>
    <w:pPr>
      <w:shd w:val="clear" w:color="auto" w:fill="FFFFFF"/>
    </w:pPr>
    <w:rPr>
      <w:rFonts w:ascii="Times New Roman" w:eastAsia="Times New Roman" w:hAnsi="Times New Roman" w:cs="Times New Roman"/>
      <w:b/>
      <w:bCs/>
      <w:color w:val="5E686A"/>
      <w:sz w:val="26"/>
      <w:szCs w:val="26"/>
    </w:rPr>
  </w:style>
  <w:style w:type="paragraph" w:customStyle="1" w:styleId="Other0">
    <w:name w:val="Other"/>
    <w:basedOn w:val="Normal"/>
    <w:link w:val="Other"/>
    <w:rsid w:val="005235C9"/>
    <w:pPr>
      <w:shd w:val="clear" w:color="auto" w:fill="FFFFFF"/>
    </w:pPr>
    <w:rPr>
      <w:rFonts w:ascii="Times New Roman" w:eastAsia="Times New Roman" w:hAnsi="Times New Roman" w:cs="Times New Roman"/>
      <w:color w:val="5E686A"/>
      <w:sz w:val="26"/>
      <w:szCs w:val="26"/>
    </w:rPr>
  </w:style>
  <w:style w:type="paragraph" w:styleId="BodyText">
    <w:name w:val="Body Text"/>
    <w:basedOn w:val="Normal"/>
    <w:link w:val="BodyTextChar"/>
    <w:qFormat/>
    <w:rsid w:val="005235C9"/>
    <w:pPr>
      <w:shd w:val="clear" w:color="auto" w:fill="FFFFFF"/>
    </w:pPr>
    <w:rPr>
      <w:rFonts w:ascii="Times New Roman" w:eastAsia="Times New Roman" w:hAnsi="Times New Roman" w:cs="Times New Roman"/>
      <w:color w:val="5E686A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235C9"/>
    <w:rPr>
      <w:color w:val="000000"/>
    </w:rPr>
  </w:style>
  <w:style w:type="paragraph" w:customStyle="1" w:styleId="Bodytext20">
    <w:name w:val="Body text (2)"/>
    <w:basedOn w:val="Normal"/>
    <w:link w:val="Bodytext2"/>
    <w:rsid w:val="005235C9"/>
    <w:pPr>
      <w:shd w:val="clear" w:color="auto" w:fill="FFFFFF"/>
      <w:ind w:left="510"/>
    </w:pPr>
    <w:rPr>
      <w:rFonts w:ascii="Arial" w:eastAsia="Arial" w:hAnsi="Arial" w:cs="Arial"/>
      <w:i/>
      <w:iCs/>
      <w:color w:val="5E686A"/>
      <w:sz w:val="15"/>
      <w:szCs w:val="15"/>
    </w:rPr>
  </w:style>
  <w:style w:type="paragraph" w:customStyle="1" w:styleId="Bodytext30">
    <w:name w:val="Body text (3)"/>
    <w:basedOn w:val="Normal"/>
    <w:link w:val="Bodytext3"/>
    <w:rsid w:val="005235C9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5E686A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n9XvAzNf0hOjyCY4v8jWDXpAMw==">CgMxLjAyCGguZ2pkZ3hzOAByITFQckxEVWJRSlFHdHRSdWJ0eENEWUx0MU01R1lsRnFjQg==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1231</Words>
  <Characters>6534</Characters>
  <Application>Microsoft Office Word</Application>
  <DocSecurity>0</DocSecurity>
  <Lines>562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11</cp:revision>
  <dcterms:created xsi:type="dcterms:W3CDTF">2024-06-03T03:27:00Z</dcterms:created>
  <dcterms:modified xsi:type="dcterms:W3CDTF">2024-06-04T04:02:00Z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ccef1dbca37adc38cbebc0d7bf07bd09652d3d91626b32d554411c9d6b572334</vt:lpwstr>
  </property>
</Properties>
</file>