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7C3E6" w14:textId="77777777" w:rsidR="009A7971" w:rsidRPr="005E4CDB" w:rsidRDefault="002337E0" w:rsidP="009953D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E4CDB">
        <w:rPr>
          <w:rFonts w:ascii="Arial" w:hAnsi="Arial" w:cs="Arial"/>
          <w:b/>
          <w:color w:val="010000"/>
          <w:sz w:val="20"/>
        </w:rPr>
        <w:t>FOX: Supplementing the contents of Annual General Mandate 2024</w:t>
      </w:r>
    </w:p>
    <w:p w14:paraId="7E434576" w14:textId="77777777" w:rsidR="009A7971" w:rsidRPr="005E4CDB" w:rsidRDefault="002337E0" w:rsidP="009953D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CDB">
        <w:rPr>
          <w:rFonts w:ascii="Arial" w:hAnsi="Arial" w:cs="Arial"/>
          <w:color w:val="010000"/>
          <w:sz w:val="20"/>
        </w:rPr>
        <w:t xml:space="preserve">On May 29, 2024, FPT Telecom Joint Stock Company announced Official Dispatch No. 471/FTEL as follows: </w:t>
      </w:r>
    </w:p>
    <w:p w14:paraId="75CCCA2F" w14:textId="3184AB20" w:rsidR="009A7971" w:rsidRPr="005E4CDB" w:rsidRDefault="002337E0" w:rsidP="009953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CDB">
        <w:rPr>
          <w:rFonts w:ascii="Arial" w:hAnsi="Arial" w:cs="Arial"/>
          <w:color w:val="010000"/>
          <w:sz w:val="20"/>
        </w:rPr>
        <w:t xml:space="preserve">Based on the Proposal on the Investment Policy to build </w:t>
      </w:r>
      <w:r w:rsidR="00842A00" w:rsidRPr="005E4CDB">
        <w:rPr>
          <w:rFonts w:ascii="Arial" w:hAnsi="Arial" w:cs="Arial"/>
          <w:color w:val="010000"/>
          <w:sz w:val="20"/>
        </w:rPr>
        <w:t xml:space="preserve">HN03 </w:t>
      </w:r>
      <w:r w:rsidRPr="005E4CDB">
        <w:rPr>
          <w:rFonts w:ascii="Arial" w:hAnsi="Arial" w:cs="Arial"/>
          <w:color w:val="010000"/>
          <w:sz w:val="20"/>
        </w:rPr>
        <w:t xml:space="preserve">Data Center, approved at the Annual General Meeting of Shareholders 2024 held on April 17, 2024, our Company would like to </w:t>
      </w:r>
      <w:r w:rsidR="004104C3" w:rsidRPr="005E4CDB">
        <w:rPr>
          <w:rFonts w:ascii="Arial" w:hAnsi="Arial" w:cs="Arial"/>
          <w:color w:val="010000"/>
          <w:sz w:val="20"/>
        </w:rPr>
        <w:t>supplement</w:t>
      </w:r>
      <w:r w:rsidRPr="005E4CDB">
        <w:rPr>
          <w:rFonts w:ascii="Arial" w:hAnsi="Arial" w:cs="Arial"/>
          <w:color w:val="010000"/>
          <w:sz w:val="20"/>
        </w:rPr>
        <w:t xml:space="preserve"> </w:t>
      </w:r>
      <w:r w:rsidR="004104C3" w:rsidRPr="005E4CDB">
        <w:rPr>
          <w:rFonts w:ascii="Arial" w:hAnsi="Arial" w:cs="Arial"/>
          <w:color w:val="010000"/>
          <w:sz w:val="20"/>
        </w:rPr>
        <w:t xml:space="preserve">and </w:t>
      </w:r>
      <w:r w:rsidRPr="005E4CDB">
        <w:rPr>
          <w:rFonts w:ascii="Arial" w:hAnsi="Arial" w:cs="Arial"/>
          <w:color w:val="010000"/>
          <w:sz w:val="20"/>
        </w:rPr>
        <w:t>correct the information in section 7 of the Annual General Mandate 2024 as follows</w:t>
      </w:r>
      <w:r w:rsidR="004104C3" w:rsidRPr="005E4CDB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21"/>
        <w:gridCol w:w="4622"/>
      </w:tblGrid>
      <w:tr w:rsidR="009A7971" w:rsidRPr="005E4CDB" w14:paraId="59DF0AFA" w14:textId="77777777" w:rsidTr="004C6BA4">
        <w:tc>
          <w:tcPr>
            <w:tcW w:w="2500" w:type="pct"/>
            <w:shd w:val="clear" w:color="auto" w:fill="auto"/>
            <w:vAlign w:val="center"/>
          </w:tcPr>
          <w:p w14:paraId="4C7552E7" w14:textId="2D6DC351" w:rsidR="009A7971" w:rsidRPr="005E4CDB" w:rsidRDefault="004104C3" w:rsidP="004C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 xml:space="preserve">Disclosed Contents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BFA3C10" w14:textId="66EAC760" w:rsidR="009A7971" w:rsidRPr="005E4CDB" w:rsidRDefault="002337E0" w:rsidP="004C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>Content</w:t>
            </w:r>
            <w:r w:rsidR="004104C3" w:rsidRPr="005E4CDB">
              <w:rPr>
                <w:rFonts w:ascii="Arial" w:hAnsi="Arial" w:cs="Arial"/>
                <w:color w:val="010000"/>
                <w:sz w:val="20"/>
              </w:rPr>
              <w:t>s</w:t>
            </w:r>
            <w:r w:rsidRPr="005E4CDB">
              <w:rPr>
                <w:rFonts w:ascii="Arial" w:hAnsi="Arial" w:cs="Arial"/>
                <w:color w:val="010000"/>
                <w:sz w:val="20"/>
              </w:rPr>
              <w:t xml:space="preserve"> after amendment</w:t>
            </w:r>
          </w:p>
        </w:tc>
      </w:tr>
      <w:tr w:rsidR="00CF2073" w:rsidRPr="005E4CDB" w14:paraId="7C687EBB" w14:textId="77777777" w:rsidTr="00842A00">
        <w:tc>
          <w:tcPr>
            <w:tcW w:w="2500" w:type="pct"/>
            <w:shd w:val="clear" w:color="auto" w:fill="auto"/>
          </w:tcPr>
          <w:p w14:paraId="4FD2B6A2" w14:textId="77777777" w:rsidR="00CF2073" w:rsidRPr="005E4CDB" w:rsidRDefault="00CF2073" w:rsidP="0053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>7. Approve the investment proposal for the HN03 Data Center project.</w:t>
            </w:r>
          </w:p>
          <w:p w14:paraId="61B54894" w14:textId="1E584513" w:rsidR="00CF2073" w:rsidRPr="005E4CDB" w:rsidRDefault="00CF2073" w:rsidP="005363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>Total investment before tax</w:t>
            </w:r>
            <w:r w:rsidR="004104C3" w:rsidRPr="005E4CDB">
              <w:rPr>
                <w:rFonts w:ascii="Arial" w:hAnsi="Arial" w:cs="Arial"/>
                <w:color w:val="010000"/>
                <w:sz w:val="20"/>
              </w:rPr>
              <w:t>:</w:t>
            </w:r>
            <w:r w:rsidRPr="005E4CDB">
              <w:rPr>
                <w:rFonts w:ascii="Arial" w:hAnsi="Arial" w:cs="Arial"/>
                <w:color w:val="010000"/>
                <w:sz w:val="20"/>
              </w:rPr>
              <w:t xml:space="preserve"> VND 3,000,000,000,000</w:t>
            </w:r>
          </w:p>
          <w:p w14:paraId="02AE4CE8" w14:textId="74101DD5" w:rsidR="00CF2073" w:rsidRPr="005E4CDB" w:rsidRDefault="00CF2073" w:rsidP="005363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>Expected implementation time</w:t>
            </w:r>
            <w:r w:rsidR="004104C3" w:rsidRPr="005E4CDB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r w:rsidRPr="005E4CDB">
              <w:rPr>
                <w:rFonts w:ascii="Arial" w:hAnsi="Arial" w:cs="Arial"/>
                <w:color w:val="010000"/>
                <w:sz w:val="20"/>
              </w:rPr>
              <w:t>from 2024 to 2032.</w:t>
            </w:r>
          </w:p>
          <w:p w14:paraId="1FE73005" w14:textId="73C90C69" w:rsidR="00CF2073" w:rsidRPr="005E4CDB" w:rsidRDefault="00CF2073" w:rsidP="005363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 xml:space="preserve">Investment </w:t>
            </w:r>
            <w:r w:rsidRPr="005E4CDB">
              <w:rPr>
                <w:rFonts w:ascii="Arial" w:eastAsia="Arial" w:hAnsi="Arial" w:cs="Arial"/>
                <w:color w:val="010000"/>
                <w:sz w:val="20"/>
                <w:szCs w:val="20"/>
              </w:rPr>
              <w:t>capital</w:t>
            </w:r>
            <w:r w:rsidRPr="005E4CDB">
              <w:rPr>
                <w:rFonts w:ascii="Arial" w:hAnsi="Arial" w:cs="Arial"/>
                <w:color w:val="010000"/>
                <w:sz w:val="20"/>
              </w:rPr>
              <w:t xml:space="preserve"> source: Bank loan/capital for business development.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A81AEBF" w14:textId="77777777" w:rsidR="00CF2073" w:rsidRPr="005E4CDB" w:rsidRDefault="00CF2073" w:rsidP="0053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>7. Approve the investment proposal for the HN03 Data Center project.</w:t>
            </w:r>
          </w:p>
          <w:p w14:paraId="0C19B3CD" w14:textId="77777777" w:rsidR="00CF2073" w:rsidRPr="005E4CDB" w:rsidRDefault="00CF2073" w:rsidP="005363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>Implementation time: From 2024 to 2032.</w:t>
            </w:r>
          </w:p>
          <w:p w14:paraId="51136DDA" w14:textId="77777777" w:rsidR="00CF2073" w:rsidRPr="005E4CDB" w:rsidRDefault="00CF2073" w:rsidP="005363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>Estimated total investment cost before tax: VND 3,000,000,000,000</w:t>
            </w:r>
          </w:p>
          <w:p w14:paraId="716A2EBE" w14:textId="77777777" w:rsidR="00CF2073" w:rsidRPr="005E4CDB" w:rsidRDefault="00CF2073" w:rsidP="005363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>Investment capital source: Bank loan/capital for business development.</w:t>
            </w:r>
          </w:p>
          <w:p w14:paraId="1190141B" w14:textId="77777777" w:rsidR="00CF2073" w:rsidRPr="005E4CDB" w:rsidRDefault="00CF2073" w:rsidP="005363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>Implementation</w:t>
            </w:r>
          </w:p>
          <w:p w14:paraId="5F6004A2" w14:textId="77777777" w:rsidR="00CF2073" w:rsidRPr="005E4CDB" w:rsidRDefault="00CF2073" w:rsidP="0053633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>Assign the Board of Directors to direct the FTEL’s Executive Board to implement investment preparation steps.</w:t>
            </w:r>
          </w:p>
          <w:p w14:paraId="0329FA00" w14:textId="2870AF29" w:rsidR="00CF2073" w:rsidRPr="005E4CDB" w:rsidRDefault="00CF2073" w:rsidP="0053633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5E4CDB">
              <w:rPr>
                <w:rFonts w:ascii="Arial" w:hAnsi="Arial" w:cs="Arial"/>
                <w:color w:val="010000"/>
                <w:sz w:val="20"/>
              </w:rPr>
              <w:t xml:space="preserve">Authorize the Board of Directors to </w:t>
            </w:r>
            <w:r w:rsidR="009E51A5" w:rsidRPr="005E4CDB">
              <w:rPr>
                <w:rFonts w:ascii="Arial" w:hAnsi="Arial" w:cs="Arial"/>
                <w:color w:val="010000"/>
                <w:sz w:val="20"/>
              </w:rPr>
              <w:t>r</w:t>
            </w:r>
            <w:r w:rsidRPr="005E4CDB">
              <w:rPr>
                <w:rFonts w:ascii="Arial" w:hAnsi="Arial" w:cs="Arial"/>
                <w:color w:val="010000"/>
                <w:sz w:val="20"/>
              </w:rPr>
              <w:t>eview and approve investment decisions and carry out investment projects on the basis of ensuring progress and financial efficiency</w:t>
            </w:r>
            <w:r w:rsidR="009E51A5" w:rsidRPr="005E4CDB">
              <w:rPr>
                <w:rFonts w:ascii="Arial" w:hAnsi="Arial" w:cs="Arial"/>
                <w:color w:val="010000"/>
                <w:sz w:val="20"/>
              </w:rPr>
              <w:t xml:space="preserve"> based on the policy approved by the General Meeting of Shareholders.</w:t>
            </w:r>
          </w:p>
        </w:tc>
      </w:tr>
    </w:tbl>
    <w:p w14:paraId="5ABBED90" w14:textId="07F8C617" w:rsidR="009A7971" w:rsidRPr="005E4CDB" w:rsidRDefault="002337E0" w:rsidP="009953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4CDB">
        <w:rPr>
          <w:rFonts w:ascii="Arial" w:hAnsi="Arial" w:cs="Arial"/>
          <w:color w:val="010000"/>
          <w:sz w:val="20"/>
        </w:rPr>
        <w:t xml:space="preserve">Other contents in the Annual General Mandate 2024, </w:t>
      </w:r>
      <w:bookmarkStart w:id="0" w:name="_GoBack"/>
      <w:r w:rsidR="005E4CDB" w:rsidRPr="005E4CDB">
        <w:rPr>
          <w:rFonts w:ascii="Arial" w:hAnsi="Arial" w:cs="Arial"/>
          <w:color w:val="010000"/>
          <w:sz w:val="20"/>
        </w:rPr>
        <w:t>Documents</w:t>
      </w:r>
      <w:r w:rsidRPr="005E4CDB">
        <w:rPr>
          <w:rFonts w:ascii="Arial" w:hAnsi="Arial" w:cs="Arial"/>
          <w:color w:val="010000"/>
          <w:sz w:val="20"/>
        </w:rPr>
        <w:t xml:space="preserve">, Minutes and Official Dispatch No. 132/CTCPVTFPT-FCC are unchanged. </w:t>
      </w:r>
      <w:bookmarkEnd w:id="0"/>
    </w:p>
    <w:sectPr w:rsidR="009A7971" w:rsidRPr="005E4CDB" w:rsidSect="004C6BA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E00"/>
    <w:multiLevelType w:val="multilevel"/>
    <w:tmpl w:val="E7B83D8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73698F"/>
    <w:multiLevelType w:val="multilevel"/>
    <w:tmpl w:val="BE60D8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4505BA"/>
    <w:multiLevelType w:val="hybridMultilevel"/>
    <w:tmpl w:val="A6987D8C"/>
    <w:lvl w:ilvl="0" w:tplc="2B8A974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71"/>
    <w:rsid w:val="002337E0"/>
    <w:rsid w:val="0027586A"/>
    <w:rsid w:val="004104C3"/>
    <w:rsid w:val="004C6BA4"/>
    <w:rsid w:val="00536333"/>
    <w:rsid w:val="005E4CDB"/>
    <w:rsid w:val="00842A00"/>
    <w:rsid w:val="009953D1"/>
    <w:rsid w:val="009A7971"/>
    <w:rsid w:val="009E51A5"/>
    <w:rsid w:val="00CF2073"/>
    <w:rsid w:val="00E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58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334" w:lineRule="auto"/>
    </w:pPr>
    <w:rPr>
      <w:rFonts w:ascii="Arial" w:eastAsia="Arial" w:hAnsi="Arial" w:cs="Arial"/>
      <w:sz w:val="16"/>
      <w:szCs w:val="16"/>
    </w:rPr>
  </w:style>
  <w:style w:type="paragraph" w:customStyle="1" w:styleId="Vnbnnidung20">
    <w:name w:val="Văn bản nội dung (2)"/>
    <w:basedOn w:val="Normal"/>
    <w:link w:val="Vnbnnidung2"/>
    <w:pPr>
      <w:ind w:firstLine="450"/>
    </w:pPr>
    <w:rPr>
      <w:rFonts w:ascii="Arial" w:eastAsia="Arial" w:hAnsi="Arial" w:cs="Arial"/>
      <w:i/>
      <w:iCs/>
      <w:sz w:val="13"/>
      <w:szCs w:val="13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3F6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334" w:lineRule="auto"/>
    </w:pPr>
    <w:rPr>
      <w:rFonts w:ascii="Arial" w:eastAsia="Arial" w:hAnsi="Arial" w:cs="Arial"/>
      <w:sz w:val="16"/>
      <w:szCs w:val="16"/>
    </w:rPr>
  </w:style>
  <w:style w:type="paragraph" w:customStyle="1" w:styleId="Vnbnnidung20">
    <w:name w:val="Văn bản nội dung (2)"/>
    <w:basedOn w:val="Normal"/>
    <w:link w:val="Vnbnnidung2"/>
    <w:pPr>
      <w:ind w:firstLine="450"/>
    </w:pPr>
    <w:rPr>
      <w:rFonts w:ascii="Arial" w:eastAsia="Arial" w:hAnsi="Arial" w:cs="Arial"/>
      <w:i/>
      <w:iCs/>
      <w:sz w:val="13"/>
      <w:szCs w:val="13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3F6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3c5hrTk8Exnbx3RkVMmPrzvvsQ==">CgMxLjA4AHIhMTBDdU5JNlNLVDZkaGhaOXVNczgzU2hGSzdsSHNRU1d2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2024-06-06T03:22:00Z</dcterms:created>
  <dcterms:modified xsi:type="dcterms:W3CDTF">2024-06-07T03:34:00Z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2145a3d4755c1e92ad7f80fd9fb891dddbd998ecec34ae8fe226e022c2fa7e00</vt:lpwstr>
  </property>
</Properties>
</file>