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EF8" w:rsidRPr="00AD0114" w:rsidRDefault="001F12BD" w:rsidP="0008727F">
      <w:pPr>
        <w:keepNext/>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AD0114">
        <w:rPr>
          <w:rFonts w:ascii="Arial" w:hAnsi="Arial" w:cs="Arial"/>
          <w:b/>
          <w:color w:val="010000"/>
          <w:sz w:val="20"/>
        </w:rPr>
        <w:t>HHG: Annual General Mandate 2024</w:t>
      </w:r>
    </w:p>
    <w:p w:rsidR="00D11EF8" w:rsidRPr="00AD0114" w:rsidRDefault="001F12BD" w:rsidP="0008727F">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D0114">
        <w:rPr>
          <w:rFonts w:ascii="Arial" w:hAnsi="Arial" w:cs="Arial"/>
          <w:color w:val="010000"/>
          <w:sz w:val="20"/>
        </w:rPr>
        <w:t xml:space="preserve">On June 01, 2024, Hoang Ha </w:t>
      </w:r>
      <w:r w:rsidR="00175BB1" w:rsidRPr="00AD0114">
        <w:rPr>
          <w:rFonts w:ascii="Arial" w:hAnsi="Arial" w:cs="Arial"/>
          <w:color w:val="010000"/>
          <w:sz w:val="20"/>
        </w:rPr>
        <w:t>JSC</w:t>
      </w:r>
      <w:r w:rsidRPr="00AD0114">
        <w:rPr>
          <w:rFonts w:ascii="Arial" w:hAnsi="Arial" w:cs="Arial"/>
          <w:color w:val="010000"/>
          <w:sz w:val="20"/>
        </w:rPr>
        <w:t xml:space="preserve"> announced </w:t>
      </w:r>
      <w:r w:rsidR="00175BB1" w:rsidRPr="00AD0114">
        <w:rPr>
          <w:rFonts w:ascii="Arial" w:hAnsi="Arial" w:cs="Arial"/>
          <w:color w:val="010000"/>
          <w:sz w:val="20"/>
        </w:rPr>
        <w:t xml:space="preserve">General Mandate </w:t>
      </w:r>
      <w:r w:rsidRPr="00AD0114">
        <w:rPr>
          <w:rFonts w:ascii="Arial" w:hAnsi="Arial" w:cs="Arial"/>
          <w:color w:val="010000"/>
          <w:sz w:val="20"/>
        </w:rPr>
        <w:t>No. 175.24/NQ-HH as follows:</w:t>
      </w:r>
    </w:p>
    <w:p w:rsidR="00D11EF8" w:rsidRPr="00AD0114" w:rsidRDefault="001F12BD" w:rsidP="0008727F">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D0114">
        <w:rPr>
          <w:rFonts w:ascii="Arial" w:hAnsi="Arial" w:cs="Arial"/>
          <w:color w:val="010000"/>
          <w:sz w:val="20"/>
        </w:rPr>
        <w:t>Approve the Board of Director</w:t>
      </w:r>
      <w:r w:rsidR="00AD0114" w:rsidRPr="00AD0114">
        <w:rPr>
          <w:rFonts w:ascii="Arial" w:hAnsi="Arial" w:cs="Arial"/>
          <w:color w:val="010000"/>
          <w:sz w:val="20"/>
        </w:rPr>
        <w:t>s</w:t>
      </w:r>
      <w:r w:rsidR="00175BB1" w:rsidRPr="00AD0114">
        <w:rPr>
          <w:rFonts w:ascii="Arial" w:hAnsi="Arial" w:cs="Arial"/>
          <w:color w:val="010000"/>
          <w:sz w:val="20"/>
        </w:rPr>
        <w:t xml:space="preserve"> </w:t>
      </w:r>
      <w:r w:rsidRPr="00AD0114">
        <w:rPr>
          <w:rFonts w:ascii="Arial" w:hAnsi="Arial" w:cs="Arial"/>
          <w:color w:val="010000"/>
          <w:sz w:val="20"/>
        </w:rPr>
        <w:t>Report on the status of business management in 2023 and the plan for 2024:</w:t>
      </w:r>
    </w:p>
    <w:p w:rsidR="00D11EF8" w:rsidRPr="00AD0114" w:rsidRDefault="001F12BD" w:rsidP="0008727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D0114">
        <w:rPr>
          <w:rFonts w:ascii="Arial" w:hAnsi="Arial" w:cs="Arial"/>
          <w:color w:val="010000"/>
          <w:sz w:val="20"/>
        </w:rPr>
        <w:t>Results of the plan</w:t>
      </w:r>
      <w:r w:rsidR="00AD0114" w:rsidRPr="00AD0114">
        <w:rPr>
          <w:rFonts w:ascii="Arial" w:hAnsi="Arial" w:cs="Arial"/>
          <w:color w:val="010000"/>
          <w:sz w:val="20"/>
        </w:rPr>
        <w:t xml:space="preserve"> 2023</w:t>
      </w:r>
    </w:p>
    <w:p w:rsidR="00D11EF8" w:rsidRPr="00AD0114" w:rsidRDefault="001F12BD" w:rsidP="0008727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D0114">
        <w:rPr>
          <w:rFonts w:ascii="Arial" w:hAnsi="Arial" w:cs="Arial"/>
          <w:color w:val="010000"/>
          <w:sz w:val="20"/>
        </w:rPr>
        <w:t>Unit: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9"/>
        <w:gridCol w:w="2994"/>
        <w:gridCol w:w="2043"/>
        <w:gridCol w:w="1812"/>
        <w:gridCol w:w="1699"/>
      </w:tblGrid>
      <w:tr w:rsidR="00D11EF8" w:rsidRPr="00AD0114" w:rsidTr="003F2A21">
        <w:tc>
          <w:tcPr>
            <w:tcW w:w="2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No.</w:t>
            </w:r>
          </w:p>
        </w:tc>
        <w:tc>
          <w:tcPr>
            <w:tcW w:w="16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Targets</w:t>
            </w:r>
          </w:p>
        </w:tc>
        <w:tc>
          <w:tcPr>
            <w:tcW w:w="1133"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 xml:space="preserve">Plan </w:t>
            </w:r>
            <w:r w:rsidR="00175BB1" w:rsidRPr="00AD0114">
              <w:rPr>
                <w:rFonts w:ascii="Arial" w:hAnsi="Arial" w:cs="Arial"/>
                <w:color w:val="010000"/>
                <w:sz w:val="20"/>
              </w:rPr>
              <w:t>2023</w:t>
            </w:r>
          </w:p>
        </w:tc>
        <w:tc>
          <w:tcPr>
            <w:tcW w:w="100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 xml:space="preserve">Results </w:t>
            </w:r>
            <w:r w:rsidR="00175BB1" w:rsidRPr="00AD0114">
              <w:rPr>
                <w:rFonts w:ascii="Arial" w:hAnsi="Arial" w:cs="Arial"/>
                <w:color w:val="010000"/>
                <w:sz w:val="20"/>
              </w:rPr>
              <w:t>2023</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Increase/Decrease (%)</w:t>
            </w:r>
          </w:p>
        </w:tc>
      </w:tr>
      <w:tr w:rsidR="00D11EF8" w:rsidRPr="00AD0114" w:rsidTr="003F2A21">
        <w:tc>
          <w:tcPr>
            <w:tcW w:w="2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I.</w:t>
            </w:r>
          </w:p>
        </w:tc>
        <w:tc>
          <w:tcPr>
            <w:tcW w:w="16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Total revenue (Revenue from production and business activities as well as other income)</w:t>
            </w:r>
          </w:p>
        </w:tc>
        <w:tc>
          <w:tcPr>
            <w:tcW w:w="1133"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124,069,399,485</w:t>
            </w:r>
          </w:p>
        </w:tc>
        <w:tc>
          <w:tcPr>
            <w:tcW w:w="100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61,614,039,875</w:t>
            </w:r>
          </w:p>
        </w:tc>
        <w:tc>
          <w:tcPr>
            <w:tcW w:w="942" w:type="pct"/>
            <w:shd w:val="clear" w:color="auto" w:fill="auto"/>
            <w:tcMar>
              <w:top w:w="0" w:type="dxa"/>
              <w:bottom w:w="0" w:type="dxa"/>
            </w:tcMar>
            <w:vAlign w:val="center"/>
          </w:tcPr>
          <w:p w:rsidR="00D11EF8" w:rsidRPr="00AD0114" w:rsidRDefault="00AD0114"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w:t>
            </w:r>
            <w:r w:rsidR="001F12BD" w:rsidRPr="00AD0114">
              <w:rPr>
                <w:rFonts w:ascii="Arial" w:hAnsi="Arial" w:cs="Arial"/>
                <w:color w:val="010000"/>
                <w:sz w:val="20"/>
              </w:rPr>
              <w:t>50.34</w:t>
            </w:r>
          </w:p>
        </w:tc>
      </w:tr>
      <w:tr w:rsidR="00D11EF8" w:rsidRPr="00AD0114" w:rsidTr="003F2A21">
        <w:tc>
          <w:tcPr>
            <w:tcW w:w="2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w:t>
            </w:r>
          </w:p>
        </w:tc>
        <w:tc>
          <w:tcPr>
            <w:tcW w:w="16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Revenue from sales of goods and services provision</w:t>
            </w:r>
          </w:p>
        </w:tc>
        <w:tc>
          <w:tcPr>
            <w:tcW w:w="1133"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123,971,284,038</w:t>
            </w:r>
          </w:p>
        </w:tc>
        <w:tc>
          <w:tcPr>
            <w:tcW w:w="100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61,473,688,339</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-50.41</w:t>
            </w:r>
          </w:p>
        </w:tc>
      </w:tr>
      <w:tr w:rsidR="00D11EF8" w:rsidRPr="00AD0114" w:rsidTr="003F2A21">
        <w:tc>
          <w:tcPr>
            <w:tcW w:w="2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2</w:t>
            </w:r>
          </w:p>
        </w:tc>
        <w:tc>
          <w:tcPr>
            <w:tcW w:w="16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Revenue from financial activities</w:t>
            </w:r>
          </w:p>
        </w:tc>
        <w:tc>
          <w:tcPr>
            <w:tcW w:w="1133"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98,115,447</w:t>
            </w:r>
          </w:p>
        </w:tc>
        <w:tc>
          <w:tcPr>
            <w:tcW w:w="100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82,495,667</w:t>
            </w:r>
          </w:p>
        </w:tc>
        <w:tc>
          <w:tcPr>
            <w:tcW w:w="942" w:type="pct"/>
            <w:shd w:val="clear" w:color="auto" w:fill="auto"/>
            <w:tcMar>
              <w:top w:w="0" w:type="dxa"/>
              <w:bottom w:w="0" w:type="dxa"/>
            </w:tcMar>
            <w:vAlign w:val="center"/>
          </w:tcPr>
          <w:p w:rsidR="00D11EF8" w:rsidRPr="00AD0114" w:rsidRDefault="00AD0114"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w:t>
            </w:r>
            <w:r w:rsidR="001F12BD" w:rsidRPr="00AD0114">
              <w:rPr>
                <w:rFonts w:ascii="Arial" w:hAnsi="Arial" w:cs="Arial"/>
                <w:color w:val="010000"/>
                <w:sz w:val="20"/>
              </w:rPr>
              <w:t>15.92</w:t>
            </w:r>
          </w:p>
        </w:tc>
      </w:tr>
      <w:tr w:rsidR="00D11EF8" w:rsidRPr="00AD0114" w:rsidTr="003F2A21">
        <w:tc>
          <w:tcPr>
            <w:tcW w:w="2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3</w:t>
            </w:r>
          </w:p>
        </w:tc>
        <w:tc>
          <w:tcPr>
            <w:tcW w:w="16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Other revenue</w:t>
            </w:r>
          </w:p>
        </w:tc>
        <w:tc>
          <w:tcPr>
            <w:tcW w:w="1133"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67,136,788</w:t>
            </w:r>
          </w:p>
        </w:tc>
        <w:tc>
          <w:tcPr>
            <w:tcW w:w="100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57,855,869</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-13.82</w:t>
            </w:r>
          </w:p>
        </w:tc>
      </w:tr>
      <w:tr w:rsidR="00D11EF8" w:rsidRPr="00AD0114" w:rsidTr="003F2A21">
        <w:tc>
          <w:tcPr>
            <w:tcW w:w="2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II.</w:t>
            </w:r>
          </w:p>
        </w:tc>
        <w:tc>
          <w:tcPr>
            <w:tcW w:w="16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Total expenses</w:t>
            </w:r>
          </w:p>
        </w:tc>
        <w:tc>
          <w:tcPr>
            <w:tcW w:w="1133"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123,965,386,653</w:t>
            </w:r>
          </w:p>
        </w:tc>
        <w:tc>
          <w:tcPr>
            <w:tcW w:w="100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104,859,045,031</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-15.41</w:t>
            </w:r>
          </w:p>
        </w:tc>
      </w:tr>
      <w:tr w:rsidR="00D11EF8" w:rsidRPr="00AD0114" w:rsidTr="003F2A21">
        <w:tc>
          <w:tcPr>
            <w:tcW w:w="2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w:t>
            </w:r>
          </w:p>
        </w:tc>
        <w:tc>
          <w:tcPr>
            <w:tcW w:w="16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Cost of goods sold</w:t>
            </w:r>
          </w:p>
        </w:tc>
        <w:tc>
          <w:tcPr>
            <w:tcW w:w="1133"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105,458,989,562</w:t>
            </w:r>
          </w:p>
        </w:tc>
        <w:tc>
          <w:tcPr>
            <w:tcW w:w="100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87,249,526,807</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-17.27</w:t>
            </w:r>
          </w:p>
        </w:tc>
      </w:tr>
      <w:tr w:rsidR="00D11EF8" w:rsidRPr="00AD0114" w:rsidTr="003F2A21">
        <w:tc>
          <w:tcPr>
            <w:tcW w:w="2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2</w:t>
            </w:r>
          </w:p>
        </w:tc>
        <w:tc>
          <w:tcPr>
            <w:tcW w:w="1660" w:type="pct"/>
            <w:shd w:val="clear" w:color="auto" w:fill="auto"/>
            <w:tcMar>
              <w:top w:w="0" w:type="dxa"/>
              <w:bottom w:w="0" w:type="dxa"/>
            </w:tcMar>
            <w:vAlign w:val="center"/>
          </w:tcPr>
          <w:p w:rsidR="00D11EF8" w:rsidRPr="00AD0114" w:rsidRDefault="00175BB1"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Financial expenses</w:t>
            </w:r>
          </w:p>
        </w:tc>
        <w:tc>
          <w:tcPr>
            <w:tcW w:w="1133"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4,719,804,140</w:t>
            </w:r>
          </w:p>
        </w:tc>
        <w:tc>
          <w:tcPr>
            <w:tcW w:w="100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5,156,039,757</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9.24</w:t>
            </w:r>
          </w:p>
        </w:tc>
      </w:tr>
      <w:tr w:rsidR="00D11EF8" w:rsidRPr="00AD0114" w:rsidTr="003F2A21">
        <w:tc>
          <w:tcPr>
            <w:tcW w:w="2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3</w:t>
            </w:r>
          </w:p>
        </w:tc>
        <w:tc>
          <w:tcPr>
            <w:tcW w:w="16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General and administrative expense</w:t>
            </w:r>
          </w:p>
        </w:tc>
        <w:tc>
          <w:tcPr>
            <w:tcW w:w="1133"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11,786,592,951</w:t>
            </w:r>
          </w:p>
        </w:tc>
        <w:tc>
          <w:tcPr>
            <w:tcW w:w="100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11,311,147,515</w:t>
            </w:r>
          </w:p>
        </w:tc>
        <w:tc>
          <w:tcPr>
            <w:tcW w:w="942" w:type="pct"/>
            <w:shd w:val="clear" w:color="auto" w:fill="auto"/>
            <w:tcMar>
              <w:top w:w="0" w:type="dxa"/>
              <w:bottom w:w="0" w:type="dxa"/>
            </w:tcMar>
            <w:vAlign w:val="center"/>
          </w:tcPr>
          <w:p w:rsidR="00D11EF8" w:rsidRPr="00AD0114" w:rsidRDefault="00AD0114"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w:t>
            </w:r>
            <w:r w:rsidR="001F12BD" w:rsidRPr="00AD0114">
              <w:rPr>
                <w:rFonts w:ascii="Arial" w:hAnsi="Arial" w:cs="Arial"/>
                <w:color w:val="010000"/>
                <w:sz w:val="20"/>
              </w:rPr>
              <w:t>4.03</w:t>
            </w:r>
          </w:p>
        </w:tc>
      </w:tr>
      <w:tr w:rsidR="00D11EF8" w:rsidRPr="00AD0114" w:rsidTr="003F2A21">
        <w:tc>
          <w:tcPr>
            <w:tcW w:w="2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4</w:t>
            </w:r>
          </w:p>
        </w:tc>
        <w:tc>
          <w:tcPr>
            <w:tcW w:w="16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Other expenses</w:t>
            </w:r>
          </w:p>
        </w:tc>
        <w:tc>
          <w:tcPr>
            <w:tcW w:w="1133"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2,000,000,000</w:t>
            </w:r>
          </w:p>
        </w:tc>
        <w:tc>
          <w:tcPr>
            <w:tcW w:w="100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1,142,330,952</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-42.88</w:t>
            </w:r>
          </w:p>
        </w:tc>
      </w:tr>
      <w:tr w:rsidR="00D11EF8" w:rsidRPr="00AD0114" w:rsidTr="003F2A21">
        <w:tc>
          <w:tcPr>
            <w:tcW w:w="2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III.</w:t>
            </w:r>
          </w:p>
        </w:tc>
        <w:tc>
          <w:tcPr>
            <w:tcW w:w="16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Profit before tax</w:t>
            </w:r>
          </w:p>
        </w:tc>
        <w:tc>
          <w:tcPr>
            <w:tcW w:w="1133"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104,012,832</w:t>
            </w:r>
          </w:p>
        </w:tc>
        <w:tc>
          <w:tcPr>
            <w:tcW w:w="100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-43,245,005,156</w:t>
            </w:r>
          </w:p>
        </w:tc>
        <w:tc>
          <w:tcPr>
            <w:tcW w:w="942" w:type="pct"/>
            <w:shd w:val="clear" w:color="auto" w:fill="auto"/>
            <w:tcMar>
              <w:top w:w="0" w:type="dxa"/>
              <w:bottom w:w="0" w:type="dxa"/>
            </w:tcMar>
            <w:vAlign w:val="center"/>
          </w:tcPr>
          <w:p w:rsidR="00D11EF8" w:rsidRPr="00AD0114" w:rsidRDefault="00D11EF8" w:rsidP="003F2A21">
            <w:pPr>
              <w:tabs>
                <w:tab w:val="left" w:pos="432"/>
              </w:tabs>
              <w:spacing w:after="120" w:line="360" w:lineRule="auto"/>
              <w:jc w:val="center"/>
              <w:rPr>
                <w:rFonts w:ascii="Arial" w:eastAsia="Arial" w:hAnsi="Arial" w:cs="Arial"/>
                <w:color w:val="010000"/>
                <w:sz w:val="20"/>
                <w:szCs w:val="20"/>
              </w:rPr>
            </w:pPr>
          </w:p>
        </w:tc>
      </w:tr>
      <w:tr w:rsidR="00D11EF8" w:rsidRPr="00AD0114" w:rsidTr="003F2A21">
        <w:tc>
          <w:tcPr>
            <w:tcW w:w="260" w:type="pct"/>
            <w:shd w:val="clear" w:color="auto" w:fill="auto"/>
            <w:tcMar>
              <w:top w:w="0" w:type="dxa"/>
              <w:bottom w:w="0" w:type="dxa"/>
            </w:tcMar>
            <w:vAlign w:val="center"/>
          </w:tcPr>
          <w:p w:rsidR="00D11EF8" w:rsidRPr="00AD0114" w:rsidRDefault="00D11EF8" w:rsidP="003F2A21">
            <w:pPr>
              <w:tabs>
                <w:tab w:val="left" w:pos="432"/>
              </w:tabs>
              <w:spacing w:after="120" w:line="360" w:lineRule="auto"/>
              <w:jc w:val="center"/>
              <w:rPr>
                <w:rFonts w:ascii="Arial" w:eastAsia="Arial" w:hAnsi="Arial" w:cs="Arial"/>
                <w:color w:val="010000"/>
                <w:sz w:val="20"/>
                <w:szCs w:val="20"/>
              </w:rPr>
            </w:pPr>
          </w:p>
        </w:tc>
        <w:tc>
          <w:tcPr>
            <w:tcW w:w="16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Current corporate income tax expense</w:t>
            </w:r>
          </w:p>
        </w:tc>
        <w:tc>
          <w:tcPr>
            <w:tcW w:w="1133" w:type="pct"/>
            <w:shd w:val="clear" w:color="auto" w:fill="auto"/>
            <w:tcMar>
              <w:top w:w="0" w:type="dxa"/>
              <w:bottom w:w="0" w:type="dxa"/>
            </w:tcMar>
            <w:vAlign w:val="center"/>
          </w:tcPr>
          <w:p w:rsidR="00D11EF8" w:rsidRPr="00AD0114" w:rsidRDefault="00D11EF8" w:rsidP="003F2A21">
            <w:pPr>
              <w:tabs>
                <w:tab w:val="left" w:pos="432"/>
              </w:tabs>
              <w:spacing w:after="120" w:line="360" w:lineRule="auto"/>
              <w:jc w:val="center"/>
              <w:rPr>
                <w:rFonts w:ascii="Arial" w:eastAsia="Arial" w:hAnsi="Arial" w:cs="Arial"/>
                <w:color w:val="010000"/>
                <w:sz w:val="20"/>
                <w:szCs w:val="20"/>
              </w:rPr>
            </w:pPr>
          </w:p>
        </w:tc>
        <w:tc>
          <w:tcPr>
            <w:tcW w:w="100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-4,481,584</w:t>
            </w:r>
          </w:p>
        </w:tc>
        <w:tc>
          <w:tcPr>
            <w:tcW w:w="942" w:type="pct"/>
            <w:shd w:val="clear" w:color="auto" w:fill="auto"/>
            <w:tcMar>
              <w:top w:w="0" w:type="dxa"/>
              <w:bottom w:w="0" w:type="dxa"/>
            </w:tcMar>
            <w:vAlign w:val="center"/>
          </w:tcPr>
          <w:p w:rsidR="00D11EF8" w:rsidRPr="00AD0114" w:rsidRDefault="00D11EF8" w:rsidP="003F2A21">
            <w:pPr>
              <w:tabs>
                <w:tab w:val="left" w:pos="432"/>
              </w:tabs>
              <w:spacing w:after="120" w:line="360" w:lineRule="auto"/>
              <w:jc w:val="center"/>
              <w:rPr>
                <w:rFonts w:ascii="Arial" w:eastAsia="Arial" w:hAnsi="Arial" w:cs="Arial"/>
                <w:color w:val="010000"/>
                <w:sz w:val="20"/>
                <w:szCs w:val="20"/>
              </w:rPr>
            </w:pPr>
          </w:p>
        </w:tc>
      </w:tr>
      <w:tr w:rsidR="00D11EF8" w:rsidRPr="00AD0114" w:rsidTr="003F2A21">
        <w:tc>
          <w:tcPr>
            <w:tcW w:w="2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IV.</w:t>
            </w:r>
          </w:p>
        </w:tc>
        <w:tc>
          <w:tcPr>
            <w:tcW w:w="16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Corporate income tax</w:t>
            </w:r>
          </w:p>
        </w:tc>
        <w:tc>
          <w:tcPr>
            <w:tcW w:w="1133" w:type="pct"/>
            <w:shd w:val="clear" w:color="auto" w:fill="auto"/>
            <w:tcMar>
              <w:top w:w="0" w:type="dxa"/>
              <w:bottom w:w="0" w:type="dxa"/>
            </w:tcMar>
            <w:vAlign w:val="center"/>
          </w:tcPr>
          <w:p w:rsidR="00D11EF8" w:rsidRPr="00AD0114" w:rsidRDefault="00D11EF8" w:rsidP="003F2A21">
            <w:pPr>
              <w:tabs>
                <w:tab w:val="left" w:pos="432"/>
              </w:tabs>
              <w:spacing w:after="120" w:line="360" w:lineRule="auto"/>
              <w:jc w:val="center"/>
              <w:rPr>
                <w:rFonts w:ascii="Arial" w:eastAsia="Arial" w:hAnsi="Arial" w:cs="Arial"/>
                <w:color w:val="010000"/>
                <w:sz w:val="20"/>
                <w:szCs w:val="20"/>
              </w:rPr>
            </w:pPr>
          </w:p>
        </w:tc>
        <w:tc>
          <w:tcPr>
            <w:tcW w:w="1005" w:type="pct"/>
            <w:shd w:val="clear" w:color="auto" w:fill="auto"/>
            <w:tcMar>
              <w:top w:w="0" w:type="dxa"/>
              <w:bottom w:w="0" w:type="dxa"/>
            </w:tcMar>
            <w:vAlign w:val="center"/>
          </w:tcPr>
          <w:p w:rsidR="00D11EF8" w:rsidRPr="00AD0114" w:rsidRDefault="00D11EF8" w:rsidP="003F2A21">
            <w:pPr>
              <w:tabs>
                <w:tab w:val="left" w:pos="432"/>
              </w:tabs>
              <w:spacing w:after="120" w:line="360" w:lineRule="auto"/>
              <w:jc w:val="center"/>
              <w:rPr>
                <w:rFonts w:ascii="Arial" w:eastAsia="Arial" w:hAnsi="Arial" w:cs="Arial"/>
                <w:color w:val="010000"/>
                <w:sz w:val="20"/>
                <w:szCs w:val="20"/>
              </w:rPr>
            </w:pPr>
          </w:p>
        </w:tc>
        <w:tc>
          <w:tcPr>
            <w:tcW w:w="942" w:type="pct"/>
            <w:shd w:val="clear" w:color="auto" w:fill="auto"/>
            <w:tcMar>
              <w:top w:w="0" w:type="dxa"/>
              <w:bottom w:w="0" w:type="dxa"/>
            </w:tcMar>
            <w:vAlign w:val="center"/>
          </w:tcPr>
          <w:p w:rsidR="00D11EF8" w:rsidRPr="00AD0114" w:rsidRDefault="00D11EF8" w:rsidP="003F2A21">
            <w:pPr>
              <w:tabs>
                <w:tab w:val="left" w:pos="432"/>
              </w:tabs>
              <w:spacing w:after="120" w:line="360" w:lineRule="auto"/>
              <w:jc w:val="center"/>
              <w:rPr>
                <w:rFonts w:ascii="Arial" w:eastAsia="Arial" w:hAnsi="Arial" w:cs="Arial"/>
                <w:color w:val="010000"/>
                <w:sz w:val="20"/>
                <w:szCs w:val="20"/>
              </w:rPr>
            </w:pPr>
          </w:p>
        </w:tc>
      </w:tr>
      <w:tr w:rsidR="00D11EF8" w:rsidRPr="00AD0114" w:rsidTr="003F2A21">
        <w:tc>
          <w:tcPr>
            <w:tcW w:w="2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V.</w:t>
            </w:r>
          </w:p>
        </w:tc>
        <w:tc>
          <w:tcPr>
            <w:tcW w:w="1660"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Profit after tax</w:t>
            </w:r>
          </w:p>
        </w:tc>
        <w:tc>
          <w:tcPr>
            <w:tcW w:w="1133"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104,012,832</w:t>
            </w:r>
          </w:p>
        </w:tc>
        <w:tc>
          <w:tcPr>
            <w:tcW w:w="100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-43,240,523,572</w:t>
            </w:r>
          </w:p>
        </w:tc>
        <w:tc>
          <w:tcPr>
            <w:tcW w:w="942" w:type="pct"/>
            <w:shd w:val="clear" w:color="auto" w:fill="auto"/>
            <w:tcMar>
              <w:top w:w="0" w:type="dxa"/>
              <w:bottom w:w="0" w:type="dxa"/>
            </w:tcMar>
            <w:vAlign w:val="center"/>
          </w:tcPr>
          <w:p w:rsidR="00D11EF8" w:rsidRPr="00AD0114" w:rsidRDefault="00D11EF8" w:rsidP="003F2A21">
            <w:pPr>
              <w:tabs>
                <w:tab w:val="left" w:pos="432"/>
              </w:tabs>
              <w:spacing w:after="120" w:line="360" w:lineRule="auto"/>
              <w:jc w:val="center"/>
              <w:rPr>
                <w:rFonts w:ascii="Arial" w:eastAsia="Arial" w:hAnsi="Arial" w:cs="Arial"/>
                <w:color w:val="010000"/>
                <w:sz w:val="20"/>
                <w:szCs w:val="20"/>
              </w:rPr>
            </w:pPr>
          </w:p>
        </w:tc>
      </w:tr>
    </w:tbl>
    <w:p w:rsidR="00D11EF8" w:rsidRPr="00AD0114" w:rsidRDefault="001F12BD" w:rsidP="003F2A21">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AD0114">
        <w:rPr>
          <w:rFonts w:ascii="Arial" w:hAnsi="Arial" w:cs="Arial"/>
          <w:color w:val="010000"/>
          <w:sz w:val="20"/>
        </w:rPr>
        <w:t>Approve the Proposal on the Audited Financial Statement</w:t>
      </w:r>
      <w:r w:rsidR="00175BB1" w:rsidRPr="00AD0114">
        <w:rPr>
          <w:rFonts w:ascii="Arial" w:hAnsi="Arial" w:cs="Arial"/>
          <w:color w:val="010000"/>
          <w:sz w:val="20"/>
        </w:rPr>
        <w:t>s</w:t>
      </w:r>
      <w:r w:rsidRPr="00AD0114">
        <w:rPr>
          <w:rFonts w:ascii="Arial" w:hAnsi="Arial" w:cs="Arial"/>
          <w:color w:val="010000"/>
          <w:sz w:val="20"/>
        </w:rPr>
        <w:t xml:space="preserve"> 2023:</w:t>
      </w:r>
    </w:p>
    <w:p w:rsidR="00D11EF8" w:rsidRPr="00AD0114" w:rsidRDefault="001F12BD" w:rsidP="003F2A21">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AD0114">
        <w:rPr>
          <w:rFonts w:ascii="Arial" w:hAnsi="Arial" w:cs="Arial"/>
          <w:color w:val="010000"/>
          <w:sz w:val="20"/>
        </w:rPr>
        <w:t>Approve the Proposal on the Business Plan 2024:</w:t>
      </w:r>
    </w:p>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Unit: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07"/>
        <w:gridCol w:w="1794"/>
        <w:gridCol w:w="1717"/>
        <w:gridCol w:w="1699"/>
      </w:tblGrid>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Targets</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Results</w:t>
            </w:r>
            <w:r w:rsidR="00175BB1" w:rsidRPr="00AD0114">
              <w:rPr>
                <w:rFonts w:ascii="Arial" w:hAnsi="Arial" w:cs="Arial"/>
                <w:color w:val="010000"/>
                <w:sz w:val="20"/>
              </w:rPr>
              <w:t xml:space="preserve"> 2023</w:t>
            </w:r>
          </w:p>
        </w:tc>
        <w:tc>
          <w:tcPr>
            <w:tcW w:w="95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Plan</w:t>
            </w:r>
            <w:r w:rsidR="00175BB1" w:rsidRPr="00AD0114">
              <w:rPr>
                <w:rFonts w:ascii="Arial" w:hAnsi="Arial" w:cs="Arial"/>
                <w:color w:val="010000"/>
                <w:sz w:val="20"/>
              </w:rPr>
              <w:t xml:space="preserve"> 2024</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 xml:space="preserve">Increase/Decrease </w:t>
            </w:r>
            <w:r w:rsidRPr="00AD0114">
              <w:rPr>
                <w:rFonts w:ascii="Arial" w:hAnsi="Arial" w:cs="Arial"/>
                <w:color w:val="010000"/>
                <w:sz w:val="20"/>
              </w:rPr>
              <w:lastRenderedPageBreak/>
              <w:t>(%)</w:t>
            </w:r>
          </w:p>
        </w:tc>
      </w:tr>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lastRenderedPageBreak/>
              <w:t>I. Total revenue</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61,614,039,875</w:t>
            </w:r>
          </w:p>
        </w:tc>
        <w:tc>
          <w:tcPr>
            <w:tcW w:w="95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61,935,443,470</w:t>
            </w:r>
          </w:p>
        </w:tc>
        <w:tc>
          <w:tcPr>
            <w:tcW w:w="942" w:type="pct"/>
            <w:shd w:val="clear" w:color="auto" w:fill="auto"/>
            <w:tcMar>
              <w:top w:w="0" w:type="dxa"/>
              <w:bottom w:w="0" w:type="dxa"/>
            </w:tcMar>
            <w:vAlign w:val="center"/>
          </w:tcPr>
          <w:p w:rsidR="00D11EF8" w:rsidRPr="00AD0114" w:rsidRDefault="00AD0114"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w:t>
            </w:r>
            <w:r w:rsidR="001F12BD" w:rsidRPr="00AD0114">
              <w:rPr>
                <w:rFonts w:ascii="Arial" w:hAnsi="Arial" w:cs="Arial"/>
                <w:color w:val="010000"/>
                <w:sz w:val="20"/>
              </w:rPr>
              <w:t>0.52</w:t>
            </w:r>
          </w:p>
        </w:tc>
      </w:tr>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1 Revenue from goods sales and service provision</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61,473,688,339</w:t>
            </w:r>
          </w:p>
        </w:tc>
        <w:tc>
          <w:tcPr>
            <w:tcW w:w="95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61,781,056,780</w:t>
            </w:r>
          </w:p>
        </w:tc>
        <w:tc>
          <w:tcPr>
            <w:tcW w:w="942" w:type="pct"/>
            <w:shd w:val="clear" w:color="auto" w:fill="auto"/>
            <w:tcMar>
              <w:top w:w="0" w:type="dxa"/>
              <w:bottom w:w="0" w:type="dxa"/>
            </w:tcMar>
            <w:vAlign w:val="center"/>
          </w:tcPr>
          <w:p w:rsidR="00D11EF8" w:rsidRPr="00AD0114" w:rsidRDefault="00AD0114"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w:t>
            </w:r>
            <w:r w:rsidR="001F12BD" w:rsidRPr="00AD0114">
              <w:rPr>
                <w:rFonts w:ascii="Arial" w:hAnsi="Arial" w:cs="Arial"/>
                <w:color w:val="010000"/>
                <w:sz w:val="20"/>
              </w:rPr>
              <w:t>0.50</w:t>
            </w:r>
          </w:p>
        </w:tc>
      </w:tr>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2 Re</w:t>
            </w:r>
            <w:r w:rsidR="00175BB1" w:rsidRPr="00AD0114">
              <w:rPr>
                <w:rFonts w:ascii="Arial" w:hAnsi="Arial" w:cs="Arial"/>
                <w:color w:val="010000"/>
                <w:sz w:val="20"/>
              </w:rPr>
              <w:t>venue from financial activities</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82,495,667</w:t>
            </w:r>
          </w:p>
        </w:tc>
        <w:tc>
          <w:tcPr>
            <w:tcW w:w="95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90,745,234</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+10.00</w:t>
            </w:r>
          </w:p>
        </w:tc>
      </w:tr>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3 Other revenue</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57,855,869</w:t>
            </w:r>
          </w:p>
        </w:tc>
        <w:tc>
          <w:tcPr>
            <w:tcW w:w="95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63,641,456</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+10.00</w:t>
            </w:r>
          </w:p>
        </w:tc>
      </w:tr>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II. Total expenses</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104,859,045,031</w:t>
            </w:r>
          </w:p>
        </w:tc>
        <w:tc>
          <w:tcPr>
            <w:tcW w:w="95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77,475,146,180</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-26.11</w:t>
            </w:r>
          </w:p>
        </w:tc>
      </w:tr>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1 Cost of goods sold</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87,249,526,807</w:t>
            </w:r>
          </w:p>
        </w:tc>
        <w:tc>
          <w:tcPr>
            <w:tcW w:w="95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63,377,857,008</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-27.36</w:t>
            </w:r>
          </w:p>
        </w:tc>
      </w:tr>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2 Financial expenses</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5,156,039,757</w:t>
            </w:r>
          </w:p>
        </w:tc>
        <w:tc>
          <w:tcPr>
            <w:tcW w:w="95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2,271,363,656</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-55.95</w:t>
            </w:r>
          </w:p>
        </w:tc>
      </w:tr>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3 General and administrative expense</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11,311,147,515</w:t>
            </w:r>
          </w:p>
        </w:tc>
        <w:tc>
          <w:tcPr>
            <w:tcW w:w="95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11,431,727,496</w:t>
            </w:r>
          </w:p>
        </w:tc>
        <w:tc>
          <w:tcPr>
            <w:tcW w:w="942" w:type="pct"/>
            <w:shd w:val="clear" w:color="auto" w:fill="auto"/>
            <w:tcMar>
              <w:top w:w="0" w:type="dxa"/>
              <w:bottom w:w="0" w:type="dxa"/>
            </w:tcMar>
            <w:vAlign w:val="center"/>
          </w:tcPr>
          <w:p w:rsidR="00D11EF8" w:rsidRPr="00AD0114" w:rsidRDefault="00AD0114"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w:t>
            </w:r>
            <w:r w:rsidR="001F12BD" w:rsidRPr="00AD0114">
              <w:rPr>
                <w:rFonts w:ascii="Arial" w:hAnsi="Arial" w:cs="Arial"/>
                <w:color w:val="010000"/>
                <w:sz w:val="20"/>
              </w:rPr>
              <w:t>1.07</w:t>
            </w:r>
          </w:p>
        </w:tc>
      </w:tr>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4 Other expenses</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1,142,330,952</w:t>
            </w:r>
          </w:p>
        </w:tc>
        <w:tc>
          <w:tcPr>
            <w:tcW w:w="95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394,198,020</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-65.49</w:t>
            </w:r>
          </w:p>
        </w:tc>
      </w:tr>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III. Profit before tax</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-43,245,005,156</w:t>
            </w:r>
          </w:p>
        </w:tc>
        <w:tc>
          <w:tcPr>
            <w:tcW w:w="95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-15,539,702,710</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-64.07</w:t>
            </w:r>
          </w:p>
        </w:tc>
      </w:tr>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IV. Corporate income tax</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-4,481,581</w:t>
            </w:r>
          </w:p>
        </w:tc>
        <w:tc>
          <w:tcPr>
            <w:tcW w:w="952" w:type="pct"/>
            <w:shd w:val="clear" w:color="auto" w:fill="auto"/>
            <w:tcMar>
              <w:top w:w="0" w:type="dxa"/>
              <w:bottom w:w="0" w:type="dxa"/>
            </w:tcMar>
            <w:vAlign w:val="center"/>
          </w:tcPr>
          <w:p w:rsidR="00D11EF8" w:rsidRPr="00AD0114" w:rsidRDefault="00D11EF8"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c>
          <w:tcPr>
            <w:tcW w:w="942" w:type="pct"/>
            <w:shd w:val="clear" w:color="auto" w:fill="auto"/>
            <w:tcMar>
              <w:top w:w="0" w:type="dxa"/>
              <w:bottom w:w="0" w:type="dxa"/>
            </w:tcMar>
            <w:vAlign w:val="center"/>
          </w:tcPr>
          <w:p w:rsidR="00D11EF8" w:rsidRPr="00AD0114" w:rsidRDefault="00D11EF8" w:rsidP="003F2A21">
            <w:pPr>
              <w:tabs>
                <w:tab w:val="left" w:pos="432"/>
              </w:tabs>
              <w:spacing w:after="120" w:line="360" w:lineRule="auto"/>
              <w:jc w:val="center"/>
              <w:rPr>
                <w:rFonts w:ascii="Arial" w:eastAsia="Arial" w:hAnsi="Arial" w:cs="Arial"/>
                <w:color w:val="010000"/>
                <w:sz w:val="20"/>
                <w:szCs w:val="20"/>
              </w:rPr>
            </w:pPr>
          </w:p>
        </w:tc>
      </w:tr>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V. Profit after tax</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-43,240,523,572</w:t>
            </w:r>
          </w:p>
        </w:tc>
        <w:tc>
          <w:tcPr>
            <w:tcW w:w="95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-15,539,702,710</w:t>
            </w:r>
          </w:p>
        </w:tc>
        <w:tc>
          <w:tcPr>
            <w:tcW w:w="94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-64.06</w:t>
            </w:r>
          </w:p>
        </w:tc>
      </w:tr>
      <w:tr w:rsidR="00D11EF8" w:rsidRPr="00AD0114" w:rsidTr="003F2A21">
        <w:tc>
          <w:tcPr>
            <w:tcW w:w="2111"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D0114">
              <w:rPr>
                <w:rFonts w:ascii="Arial" w:hAnsi="Arial" w:cs="Arial"/>
                <w:color w:val="010000"/>
                <w:sz w:val="20"/>
              </w:rPr>
              <w:t>VI Dividend payment rate</w:t>
            </w:r>
          </w:p>
        </w:tc>
        <w:tc>
          <w:tcPr>
            <w:tcW w:w="995"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-1,239</w:t>
            </w:r>
          </w:p>
        </w:tc>
        <w:tc>
          <w:tcPr>
            <w:tcW w:w="952" w:type="pct"/>
            <w:shd w:val="clear" w:color="auto" w:fill="auto"/>
            <w:tcMar>
              <w:top w:w="0" w:type="dxa"/>
              <w:bottom w:w="0" w:type="dxa"/>
            </w:tcMar>
            <w:vAlign w:val="center"/>
          </w:tcPr>
          <w:p w:rsidR="00D11EF8" w:rsidRPr="00AD0114" w:rsidRDefault="001F12BD" w:rsidP="003F2A21">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AD0114">
              <w:rPr>
                <w:rFonts w:ascii="Arial" w:hAnsi="Arial" w:cs="Arial"/>
                <w:color w:val="010000"/>
                <w:sz w:val="20"/>
              </w:rPr>
              <w:t>-445</w:t>
            </w:r>
          </w:p>
        </w:tc>
        <w:tc>
          <w:tcPr>
            <w:tcW w:w="942" w:type="pct"/>
            <w:shd w:val="clear" w:color="auto" w:fill="auto"/>
            <w:tcMar>
              <w:top w:w="0" w:type="dxa"/>
              <w:bottom w:w="0" w:type="dxa"/>
            </w:tcMar>
            <w:vAlign w:val="center"/>
          </w:tcPr>
          <w:p w:rsidR="00D11EF8" w:rsidRPr="00AD0114" w:rsidRDefault="00D11EF8" w:rsidP="003F2A21">
            <w:pPr>
              <w:tabs>
                <w:tab w:val="left" w:pos="432"/>
              </w:tabs>
              <w:spacing w:after="120" w:line="360" w:lineRule="auto"/>
              <w:jc w:val="center"/>
              <w:rPr>
                <w:rFonts w:ascii="Arial" w:eastAsia="Arial" w:hAnsi="Arial" w:cs="Arial"/>
                <w:color w:val="010000"/>
                <w:sz w:val="20"/>
                <w:szCs w:val="20"/>
              </w:rPr>
            </w:pPr>
          </w:p>
        </w:tc>
      </w:tr>
    </w:tbl>
    <w:p w:rsidR="00D11EF8" w:rsidRPr="00AD0114" w:rsidRDefault="001F12BD" w:rsidP="0008727F">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D0114">
        <w:rPr>
          <w:rFonts w:ascii="Arial" w:hAnsi="Arial" w:cs="Arial"/>
          <w:color w:val="010000"/>
          <w:sz w:val="20"/>
        </w:rPr>
        <w:t>Approve the Proposal on Selecting an audit company for the Financial Statements 2024:</w:t>
      </w:r>
    </w:p>
    <w:p w:rsidR="00D11EF8" w:rsidRPr="00AD0114" w:rsidRDefault="001F12BD" w:rsidP="0008727F">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D0114">
        <w:rPr>
          <w:rFonts w:ascii="Arial" w:hAnsi="Arial" w:cs="Arial"/>
          <w:color w:val="010000"/>
          <w:sz w:val="20"/>
        </w:rPr>
        <w:t>Approve the Proposal on the remuneration payment for the Board of Directors and the Supervisory Board in 2024:</w:t>
      </w:r>
    </w:p>
    <w:p w:rsidR="00D11EF8" w:rsidRPr="00AD0114" w:rsidRDefault="001F12BD" w:rsidP="0008727F">
      <w:pPr>
        <w:numPr>
          <w:ilvl w:val="0"/>
          <w:numId w:val="1"/>
        </w:numPr>
        <w:pBdr>
          <w:top w:val="nil"/>
          <w:left w:val="nil"/>
          <w:bottom w:val="nil"/>
          <w:right w:val="nil"/>
          <w:between w:val="nil"/>
        </w:pBdr>
        <w:tabs>
          <w:tab w:val="left" w:pos="432"/>
          <w:tab w:val="left" w:pos="765"/>
        </w:tabs>
        <w:spacing w:after="120" w:line="360" w:lineRule="auto"/>
        <w:jc w:val="both"/>
        <w:rPr>
          <w:rFonts w:ascii="Arial" w:eastAsia="Arial" w:hAnsi="Arial" w:cs="Arial"/>
          <w:color w:val="010000"/>
          <w:sz w:val="20"/>
          <w:szCs w:val="20"/>
        </w:rPr>
      </w:pPr>
      <w:r w:rsidRPr="00AD0114">
        <w:rPr>
          <w:rFonts w:ascii="Arial" w:hAnsi="Arial" w:cs="Arial"/>
          <w:color w:val="010000"/>
          <w:sz w:val="20"/>
        </w:rPr>
        <w:t xml:space="preserve">Approve the Proposal on transferring the Project of Company’s Office - Bus Station of Hoang Ha JSC: The General Meeting of Shareholders agreed to receive back the Project of Company’s Office - Bus Station of Hoang Ha JSC from </w:t>
      </w:r>
      <w:proofErr w:type="spellStart"/>
      <w:r w:rsidRPr="00AD0114">
        <w:rPr>
          <w:rFonts w:ascii="Arial" w:hAnsi="Arial" w:cs="Arial"/>
          <w:color w:val="010000"/>
          <w:sz w:val="20"/>
        </w:rPr>
        <w:t>Dragonventures</w:t>
      </w:r>
      <w:proofErr w:type="spellEnd"/>
      <w:r w:rsidRPr="00AD0114">
        <w:rPr>
          <w:rFonts w:ascii="Arial" w:hAnsi="Arial" w:cs="Arial"/>
          <w:color w:val="010000"/>
          <w:sz w:val="20"/>
        </w:rPr>
        <w:t xml:space="preserve"> Investment and Development Joint Stock Company. After completing the adjustment of the Investment Certificate, the General Meeting of Hoang Ha JSC authorized the Board of Directors to find another partner to transfer the Project.</w:t>
      </w:r>
    </w:p>
    <w:p w:rsidR="00D11EF8" w:rsidRPr="00AD0114" w:rsidRDefault="001F12BD" w:rsidP="0008727F">
      <w:pPr>
        <w:numPr>
          <w:ilvl w:val="0"/>
          <w:numId w:val="1"/>
        </w:numPr>
        <w:pBdr>
          <w:top w:val="nil"/>
          <w:left w:val="nil"/>
          <w:bottom w:val="nil"/>
          <w:right w:val="nil"/>
          <w:between w:val="nil"/>
        </w:pBdr>
        <w:tabs>
          <w:tab w:val="left" w:pos="432"/>
          <w:tab w:val="left" w:pos="1026"/>
        </w:tabs>
        <w:spacing w:after="120" w:line="360" w:lineRule="auto"/>
        <w:jc w:val="both"/>
        <w:rPr>
          <w:rFonts w:ascii="Arial" w:eastAsia="Arial" w:hAnsi="Arial" w:cs="Arial"/>
          <w:color w:val="010000"/>
          <w:sz w:val="20"/>
          <w:szCs w:val="20"/>
        </w:rPr>
      </w:pPr>
      <w:r w:rsidRPr="00AD0114">
        <w:rPr>
          <w:rFonts w:ascii="Arial" w:hAnsi="Arial" w:cs="Arial"/>
          <w:color w:val="010000"/>
          <w:sz w:val="20"/>
        </w:rPr>
        <w:t xml:space="preserve">Approve the Report of the Supervisory Board on the Company's management by the Board of Directors and </w:t>
      </w:r>
      <w:r w:rsidR="0008727F">
        <w:rPr>
          <w:rFonts w:ascii="Arial" w:hAnsi="Arial" w:cs="Arial"/>
          <w:color w:val="010000"/>
          <w:sz w:val="20"/>
        </w:rPr>
        <w:t>Executive Board</w:t>
      </w:r>
      <w:r w:rsidRPr="00AD0114">
        <w:rPr>
          <w:rFonts w:ascii="Arial" w:hAnsi="Arial" w:cs="Arial"/>
          <w:color w:val="010000"/>
          <w:sz w:val="20"/>
        </w:rPr>
        <w:t xml:space="preserve"> in the fiscal year 2023.</w:t>
      </w:r>
    </w:p>
    <w:p w:rsidR="00D11EF8" w:rsidRPr="00AD0114" w:rsidRDefault="001F12BD" w:rsidP="0008727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D0114">
        <w:rPr>
          <w:rFonts w:ascii="Arial" w:hAnsi="Arial" w:cs="Arial"/>
          <w:color w:val="010000"/>
          <w:sz w:val="20"/>
        </w:rPr>
        <w:t>Article 8: The General Meeting authorized and assigned the Board of Directors of Hoang Ha JSC to organize and supervise the implementation of the General Mandate.</w:t>
      </w:r>
    </w:p>
    <w:p w:rsidR="00D11EF8" w:rsidRPr="00AD0114" w:rsidRDefault="001F12BD" w:rsidP="0008727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D0114">
        <w:rPr>
          <w:rFonts w:ascii="Arial" w:hAnsi="Arial" w:cs="Arial"/>
          <w:color w:val="010000"/>
          <w:sz w:val="20"/>
        </w:rPr>
        <w:t xml:space="preserve">The General Meeting approved </w:t>
      </w:r>
      <w:r w:rsidR="0008727F">
        <w:rPr>
          <w:rFonts w:ascii="Arial" w:hAnsi="Arial" w:cs="Arial"/>
          <w:color w:val="010000"/>
          <w:sz w:val="20"/>
        </w:rPr>
        <w:t>in its full entirety</w:t>
      </w:r>
      <w:bookmarkStart w:id="0" w:name="_GoBack"/>
      <w:bookmarkEnd w:id="0"/>
      <w:r w:rsidRPr="00AD0114">
        <w:rPr>
          <w:rFonts w:ascii="Arial" w:hAnsi="Arial" w:cs="Arial"/>
          <w:color w:val="010000"/>
          <w:sz w:val="20"/>
        </w:rPr>
        <w:t xml:space="preserve"> the Annual General Mandate 2024 of Hoang Ha JSC.</w:t>
      </w:r>
    </w:p>
    <w:sectPr w:rsidR="00D11EF8" w:rsidRPr="00AD0114" w:rsidSect="003F2A2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008FB"/>
    <w:multiLevelType w:val="multilevel"/>
    <w:tmpl w:val="8DA8F040"/>
    <w:lvl w:ilvl="0">
      <w:start w:val="6"/>
      <w:numFmt w:val="decimal"/>
      <w:lvlText w:val="%1."/>
      <w:lvlJc w:val="left"/>
      <w:pPr>
        <w:ind w:left="0" w:firstLine="0"/>
      </w:pPr>
      <w:rPr>
        <w:rFonts w:ascii="Arial" w:eastAsia="Arial" w:hAnsi="Arial" w:cs="Arial"/>
        <w:b w:val="0"/>
        <w:i w:val="0"/>
        <w:smallCaps w:val="0"/>
        <w:strike w:val="0"/>
        <w:color w:val="222324"/>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8AA11B8"/>
    <w:multiLevelType w:val="multilevel"/>
    <w:tmpl w:val="FCE0CCFC"/>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F8"/>
    <w:rsid w:val="0008727F"/>
    <w:rsid w:val="00175BB1"/>
    <w:rsid w:val="001F12BD"/>
    <w:rsid w:val="003F2A21"/>
    <w:rsid w:val="00AD0114"/>
    <w:rsid w:val="00B16080"/>
    <w:rsid w:val="00D1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279B1"/>
  <w15:docId w15:val="{14021357-F235-42CB-B3D3-63371717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F2F30"/>
      <w:sz w:val="26"/>
      <w:szCs w:val="26"/>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color w:val="2F2F3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color w:val="222324"/>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2F2F30"/>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FF0000"/>
      <w:sz w:val="17"/>
      <w:szCs w:val="17"/>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222324"/>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DF426B"/>
      <w:sz w:val="18"/>
      <w:szCs w:val="1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color w:val="2F2F30"/>
      <w:sz w:val="32"/>
      <w:szCs w:val="3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strike w:val="0"/>
      <w:color w:val="2F2F30"/>
      <w:sz w:val="34"/>
      <w:szCs w:val="34"/>
      <w:u w:val="none"/>
      <w:shd w:val="clear" w:color="auto" w:fill="auto"/>
    </w:rPr>
  </w:style>
  <w:style w:type="paragraph" w:customStyle="1" w:styleId="Vnbnnidung0">
    <w:name w:val="Văn bản nội dung"/>
    <w:basedOn w:val="Normal"/>
    <w:link w:val="Vnbnnidung"/>
    <w:pPr>
      <w:spacing w:line="298" w:lineRule="auto"/>
    </w:pPr>
    <w:rPr>
      <w:rFonts w:ascii="Times New Roman" w:eastAsia="Times New Roman" w:hAnsi="Times New Roman" w:cs="Times New Roman"/>
      <w:color w:val="2F2F30"/>
      <w:sz w:val="26"/>
      <w:szCs w:val="26"/>
    </w:rPr>
  </w:style>
  <w:style w:type="paragraph" w:customStyle="1" w:styleId="Tiu30">
    <w:name w:val="Tiêu đề #3"/>
    <w:basedOn w:val="Normal"/>
    <w:link w:val="Tiu3"/>
    <w:pPr>
      <w:spacing w:line="257" w:lineRule="auto"/>
      <w:jc w:val="center"/>
      <w:outlineLvl w:val="2"/>
    </w:pPr>
    <w:rPr>
      <w:rFonts w:ascii="Times New Roman" w:eastAsia="Times New Roman" w:hAnsi="Times New Roman" w:cs="Times New Roman"/>
      <w:b/>
      <w:bCs/>
      <w:color w:val="2F2F30"/>
      <w:sz w:val="26"/>
      <w:szCs w:val="26"/>
    </w:rPr>
  </w:style>
  <w:style w:type="paragraph" w:customStyle="1" w:styleId="Chthchbng0">
    <w:name w:val="Chú thích bảng"/>
    <w:basedOn w:val="Normal"/>
    <w:link w:val="Chthchbng"/>
    <w:rPr>
      <w:rFonts w:ascii="Times New Roman" w:eastAsia="Times New Roman" w:hAnsi="Times New Roman" w:cs="Times New Roman"/>
      <w:color w:val="222324"/>
    </w:rPr>
  </w:style>
  <w:style w:type="paragraph" w:customStyle="1" w:styleId="Khc0">
    <w:name w:val="Khác"/>
    <w:basedOn w:val="Normal"/>
    <w:link w:val="Khc"/>
    <w:rPr>
      <w:rFonts w:ascii="Times New Roman" w:eastAsia="Times New Roman" w:hAnsi="Times New Roman" w:cs="Times New Roman"/>
      <w:color w:val="2F2F30"/>
    </w:rPr>
  </w:style>
  <w:style w:type="paragraph" w:customStyle="1" w:styleId="Vnbnnidung50">
    <w:name w:val="Văn bản nội dung (5)"/>
    <w:basedOn w:val="Normal"/>
    <w:link w:val="Vnbnnidung5"/>
    <w:rPr>
      <w:rFonts w:ascii="Times New Roman" w:eastAsia="Times New Roman" w:hAnsi="Times New Roman" w:cs="Times New Roman"/>
      <w:color w:val="FF0000"/>
      <w:sz w:val="10"/>
      <w:szCs w:val="10"/>
    </w:rPr>
  </w:style>
  <w:style w:type="paragraph" w:customStyle="1" w:styleId="Vnbnnidung30">
    <w:name w:val="Văn bản nội dung (3)"/>
    <w:basedOn w:val="Normal"/>
    <w:link w:val="Vnbnnidung3"/>
    <w:rPr>
      <w:rFonts w:ascii="Times New Roman" w:eastAsia="Times New Roman" w:hAnsi="Times New Roman" w:cs="Times New Roman"/>
      <w:color w:val="FF0000"/>
      <w:sz w:val="17"/>
      <w:szCs w:val="17"/>
    </w:rPr>
  </w:style>
  <w:style w:type="paragraph" w:customStyle="1" w:styleId="Vnbnnidung20">
    <w:name w:val="Văn bản nội dung (2)"/>
    <w:basedOn w:val="Normal"/>
    <w:link w:val="Vnbnnidung2"/>
    <w:pPr>
      <w:spacing w:line="276" w:lineRule="auto"/>
      <w:ind w:firstLine="440"/>
    </w:pPr>
    <w:rPr>
      <w:rFonts w:ascii="Times New Roman" w:eastAsia="Times New Roman" w:hAnsi="Times New Roman" w:cs="Times New Roman"/>
      <w:color w:val="222324"/>
      <w:sz w:val="26"/>
      <w:szCs w:val="26"/>
    </w:rPr>
  </w:style>
  <w:style w:type="paragraph" w:customStyle="1" w:styleId="Vnbnnidung40">
    <w:name w:val="Văn bản nội dung (4)"/>
    <w:basedOn w:val="Normal"/>
    <w:link w:val="Vnbnnidung4"/>
    <w:pPr>
      <w:spacing w:line="295" w:lineRule="auto"/>
      <w:ind w:left="3320"/>
    </w:pPr>
    <w:rPr>
      <w:rFonts w:ascii="Arial" w:eastAsia="Arial" w:hAnsi="Arial" w:cs="Arial"/>
      <w:color w:val="DF426B"/>
      <w:sz w:val="18"/>
      <w:szCs w:val="18"/>
    </w:rPr>
  </w:style>
  <w:style w:type="paragraph" w:customStyle="1" w:styleId="Tiu20">
    <w:name w:val="Tiêu đề #2"/>
    <w:basedOn w:val="Normal"/>
    <w:link w:val="Tiu2"/>
    <w:pPr>
      <w:jc w:val="center"/>
      <w:outlineLvl w:val="1"/>
    </w:pPr>
    <w:rPr>
      <w:rFonts w:ascii="Times New Roman" w:eastAsia="Times New Roman" w:hAnsi="Times New Roman" w:cs="Times New Roman"/>
      <w:b/>
      <w:bCs/>
      <w:color w:val="2F2F30"/>
      <w:sz w:val="32"/>
      <w:szCs w:val="32"/>
    </w:rPr>
  </w:style>
  <w:style w:type="paragraph" w:customStyle="1" w:styleId="Tiu10">
    <w:name w:val="Tiêu đề #1"/>
    <w:basedOn w:val="Normal"/>
    <w:link w:val="Tiu1"/>
    <w:pPr>
      <w:jc w:val="right"/>
      <w:outlineLvl w:val="0"/>
    </w:pPr>
    <w:rPr>
      <w:rFonts w:ascii="Times New Roman" w:eastAsia="Times New Roman" w:hAnsi="Times New Roman" w:cs="Times New Roman"/>
      <w:smallCaps/>
      <w:color w:val="2F2F30"/>
      <w:sz w:val="34"/>
      <w:szCs w:val="3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AD0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39/BUfiiHdR1de00xWm2qYbgw==">CgMxLjA4AHIhMUNNYXZzcFZYZlBDcEw1emN0REh2b096NEluVFc1cTZ1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2024-06-06T02:52:00Z</dcterms:created>
  <dcterms:modified xsi:type="dcterms:W3CDTF">2024-06-06T02:52:00Z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2656e55b8c169090ec1cf18056831a13070707a110eaacc8fb14e39e95fbd4e5</vt:lpwstr>
  </property>
</Properties>
</file>