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0902BF">
        <w:rPr>
          <w:rFonts w:ascii="Arial" w:hAnsi="Arial" w:cs="Arial"/>
          <w:b/>
          <w:color w:val="010000"/>
          <w:sz w:val="20"/>
        </w:rPr>
        <w:t>HKT: Annual General Mandate 2024</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On May 31, 2024, Ego Vietnam Investment Joint Stock Company announced General Mandate No. 31.05/2024/NQ-DHDCD-HKT as follows:</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‎‎Article 1. Approve t</w:t>
      </w:r>
      <w:bookmarkStart w:id="0" w:name="_GoBack"/>
      <w:bookmarkEnd w:id="0"/>
      <w:r w:rsidRPr="000902BF">
        <w:rPr>
          <w:rFonts w:ascii="Arial" w:hAnsi="Arial" w:cs="Arial"/>
          <w:color w:val="010000"/>
          <w:sz w:val="20"/>
        </w:rPr>
        <w:t>he following Reports:</w:t>
      </w:r>
    </w:p>
    <w:p w:rsidR="009C7C0D" w:rsidRPr="000902BF" w:rsidRDefault="00CE4BAA" w:rsidP="000320AC">
      <w:pPr>
        <w:numPr>
          <w:ilvl w:val="0"/>
          <w:numId w:val="7"/>
        </w:numPr>
        <w:pBdr>
          <w:top w:val="nil"/>
          <w:left w:val="nil"/>
          <w:bottom w:val="nil"/>
          <w:right w:val="nil"/>
          <w:between w:val="nil"/>
        </w:pBdr>
        <w:tabs>
          <w:tab w:val="left" w:pos="432"/>
          <w:tab w:val="left" w:pos="728"/>
        </w:tabs>
        <w:spacing w:after="120" w:line="360" w:lineRule="auto"/>
        <w:jc w:val="both"/>
        <w:rPr>
          <w:rFonts w:ascii="Arial" w:eastAsia="Arial" w:hAnsi="Arial" w:cs="Arial"/>
          <w:color w:val="010000"/>
          <w:sz w:val="20"/>
          <w:szCs w:val="20"/>
        </w:rPr>
      </w:pPr>
      <w:r w:rsidRPr="000902BF">
        <w:rPr>
          <w:rFonts w:ascii="Arial" w:hAnsi="Arial" w:cs="Arial"/>
          <w:color w:val="010000"/>
          <w:sz w:val="20"/>
        </w:rPr>
        <w:t>Report on activities of the Board of Directors in 2023 and Plan for 2024</w:t>
      </w:r>
    </w:p>
    <w:p w:rsidR="000D3EF5" w:rsidRPr="000902BF" w:rsidRDefault="00CE4BAA" w:rsidP="000320AC">
      <w:pPr>
        <w:numPr>
          <w:ilvl w:val="0"/>
          <w:numId w:val="7"/>
        </w:numPr>
        <w:pBdr>
          <w:top w:val="nil"/>
          <w:left w:val="nil"/>
          <w:bottom w:val="nil"/>
          <w:right w:val="nil"/>
          <w:between w:val="nil"/>
        </w:pBdr>
        <w:tabs>
          <w:tab w:val="left" w:pos="432"/>
          <w:tab w:val="left" w:pos="728"/>
        </w:tabs>
        <w:spacing w:after="120" w:line="360" w:lineRule="auto"/>
        <w:jc w:val="both"/>
        <w:rPr>
          <w:rFonts w:ascii="Arial" w:eastAsia="Arial" w:hAnsi="Arial" w:cs="Arial"/>
          <w:color w:val="010000"/>
          <w:sz w:val="20"/>
          <w:szCs w:val="20"/>
        </w:rPr>
      </w:pPr>
      <w:r w:rsidRPr="000902BF">
        <w:rPr>
          <w:rFonts w:ascii="Arial" w:hAnsi="Arial" w:cs="Arial"/>
          <w:color w:val="010000"/>
          <w:sz w:val="20"/>
        </w:rPr>
        <w:t>Report of independent member of the Board of Directors</w:t>
      </w:r>
    </w:p>
    <w:p w:rsidR="000D3EF5" w:rsidRPr="000902BF" w:rsidRDefault="00CE4BAA" w:rsidP="000320AC">
      <w:pPr>
        <w:numPr>
          <w:ilvl w:val="0"/>
          <w:numId w:val="7"/>
        </w:numPr>
        <w:pBdr>
          <w:top w:val="nil"/>
          <w:left w:val="nil"/>
          <w:bottom w:val="nil"/>
          <w:right w:val="nil"/>
          <w:between w:val="nil"/>
        </w:pBdr>
        <w:tabs>
          <w:tab w:val="left" w:pos="432"/>
          <w:tab w:val="left" w:pos="728"/>
        </w:tabs>
        <w:spacing w:after="120" w:line="360" w:lineRule="auto"/>
        <w:jc w:val="both"/>
        <w:rPr>
          <w:rFonts w:ascii="Arial" w:eastAsia="Arial" w:hAnsi="Arial" w:cs="Arial"/>
          <w:color w:val="010000"/>
          <w:sz w:val="20"/>
          <w:szCs w:val="20"/>
        </w:rPr>
      </w:pPr>
      <w:r w:rsidRPr="000902BF">
        <w:rPr>
          <w:rFonts w:ascii="Arial" w:hAnsi="Arial" w:cs="Arial"/>
          <w:color w:val="010000"/>
          <w:sz w:val="20"/>
        </w:rPr>
        <w:t>Report on activities of the Board of Management in 2023 and Plan for 2024</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Business results in 2023:</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Unit: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79"/>
        <w:gridCol w:w="2139"/>
        <w:gridCol w:w="2146"/>
        <w:gridCol w:w="2153"/>
      </w:tblGrid>
      <w:tr w:rsidR="000D3EF5" w:rsidRPr="000902BF" w:rsidTr="00395425">
        <w:tc>
          <w:tcPr>
            <w:tcW w:w="143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Target</w:t>
            </w:r>
          </w:p>
        </w:tc>
        <w:tc>
          <w:tcPr>
            <w:tcW w:w="118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Plan 2023</w:t>
            </w:r>
          </w:p>
        </w:tc>
        <w:tc>
          <w:tcPr>
            <w:tcW w:w="119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Results 2023</w:t>
            </w:r>
          </w:p>
        </w:tc>
        <w:tc>
          <w:tcPr>
            <w:tcW w:w="11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Completion rate (%)</w:t>
            </w:r>
          </w:p>
        </w:tc>
      </w:tr>
      <w:tr w:rsidR="000D3EF5" w:rsidRPr="000902BF" w:rsidTr="00395425">
        <w:tc>
          <w:tcPr>
            <w:tcW w:w="143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Revenue</w:t>
            </w:r>
          </w:p>
        </w:tc>
        <w:tc>
          <w:tcPr>
            <w:tcW w:w="118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300,000,000,000</w:t>
            </w:r>
          </w:p>
        </w:tc>
        <w:tc>
          <w:tcPr>
            <w:tcW w:w="119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215,651,459,314</w:t>
            </w:r>
          </w:p>
        </w:tc>
        <w:tc>
          <w:tcPr>
            <w:tcW w:w="11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71.9%</w:t>
            </w:r>
          </w:p>
        </w:tc>
      </w:tr>
      <w:tr w:rsidR="000D3EF5" w:rsidRPr="000902BF" w:rsidTr="00395425">
        <w:tc>
          <w:tcPr>
            <w:tcW w:w="143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Profit before tax</w:t>
            </w:r>
          </w:p>
        </w:tc>
        <w:tc>
          <w:tcPr>
            <w:tcW w:w="118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6,000,000,000</w:t>
            </w:r>
          </w:p>
        </w:tc>
        <w:tc>
          <w:tcPr>
            <w:tcW w:w="119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579,148,096</w:t>
            </w:r>
          </w:p>
        </w:tc>
        <w:tc>
          <w:tcPr>
            <w:tcW w:w="11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9.7%</w:t>
            </w:r>
          </w:p>
        </w:tc>
      </w:tr>
      <w:tr w:rsidR="000D3EF5" w:rsidRPr="000902BF" w:rsidTr="00395425">
        <w:tc>
          <w:tcPr>
            <w:tcW w:w="143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Profit after tax</w:t>
            </w:r>
          </w:p>
        </w:tc>
        <w:tc>
          <w:tcPr>
            <w:tcW w:w="118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4,800,000,000</w:t>
            </w:r>
          </w:p>
        </w:tc>
        <w:tc>
          <w:tcPr>
            <w:tcW w:w="119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461,013,161</w:t>
            </w:r>
          </w:p>
        </w:tc>
        <w:tc>
          <w:tcPr>
            <w:tcW w:w="11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9.6%</w:t>
            </w:r>
          </w:p>
        </w:tc>
      </w:tr>
      <w:tr w:rsidR="000D3EF5" w:rsidRPr="000902BF" w:rsidTr="00395425">
        <w:tc>
          <w:tcPr>
            <w:tcW w:w="143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Expected dividends (%)</w:t>
            </w:r>
          </w:p>
        </w:tc>
        <w:tc>
          <w:tcPr>
            <w:tcW w:w="118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w:t>
            </w:r>
          </w:p>
        </w:tc>
        <w:tc>
          <w:tcPr>
            <w:tcW w:w="1190"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w:t>
            </w:r>
          </w:p>
        </w:tc>
        <w:tc>
          <w:tcPr>
            <w:tcW w:w="11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w:t>
            </w:r>
          </w:p>
        </w:tc>
      </w:tr>
    </w:tbl>
    <w:p w:rsidR="000D3EF5" w:rsidRPr="000902BF" w:rsidRDefault="00CE4BAA" w:rsidP="000320AC">
      <w:pPr>
        <w:numPr>
          <w:ilvl w:val="0"/>
          <w:numId w:val="7"/>
        </w:numPr>
        <w:pBdr>
          <w:top w:val="nil"/>
          <w:left w:val="nil"/>
          <w:bottom w:val="nil"/>
          <w:right w:val="nil"/>
          <w:between w:val="nil"/>
        </w:pBdr>
        <w:tabs>
          <w:tab w:val="left" w:pos="432"/>
          <w:tab w:val="left" w:pos="728"/>
        </w:tabs>
        <w:spacing w:after="120" w:line="360" w:lineRule="auto"/>
        <w:jc w:val="both"/>
        <w:rPr>
          <w:rFonts w:ascii="Arial" w:eastAsia="Arial" w:hAnsi="Arial" w:cs="Arial"/>
          <w:color w:val="010000"/>
          <w:sz w:val="20"/>
          <w:szCs w:val="20"/>
        </w:rPr>
      </w:pPr>
      <w:r w:rsidRPr="000902BF">
        <w:rPr>
          <w:rFonts w:ascii="Arial" w:hAnsi="Arial" w:cs="Arial"/>
          <w:color w:val="010000"/>
          <w:sz w:val="20"/>
        </w:rPr>
        <w:t xml:space="preserve">Report on activities of the Supervisory Board in 2023 and Plan for 2024, </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‎‎Article 2. Approve the Audited Financial Statements 2023.</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‎‎Article 3. Approve the Plan on profit distribution in 2023, specifically:</w:t>
      </w:r>
    </w:p>
    <w:tbl>
      <w:tblPr>
        <w:tblStyle w:val="a0"/>
        <w:tblW w:w="5000" w:type="pct"/>
        <w:tblLook w:val="0400" w:firstRow="0" w:lastRow="0" w:firstColumn="0" w:lastColumn="0" w:noHBand="0" w:noVBand="1"/>
      </w:tblPr>
      <w:tblGrid>
        <w:gridCol w:w="806"/>
        <w:gridCol w:w="4023"/>
        <w:gridCol w:w="2588"/>
        <w:gridCol w:w="1600"/>
      </w:tblGrid>
      <w:tr w:rsidR="000D3EF5" w:rsidRPr="000902BF" w:rsidTr="00395425">
        <w:tc>
          <w:tcPr>
            <w:tcW w:w="447"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No.</w:t>
            </w:r>
          </w:p>
        </w:tc>
        <w:tc>
          <w:tcPr>
            <w:tcW w:w="2231"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Target</w:t>
            </w:r>
          </w:p>
        </w:tc>
        <w:tc>
          <w:tcPr>
            <w:tcW w:w="1435"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Value (VND)</w:t>
            </w:r>
          </w:p>
        </w:tc>
        <w:tc>
          <w:tcPr>
            <w:tcW w:w="88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Note</w:t>
            </w:r>
          </w:p>
        </w:tc>
      </w:tr>
      <w:tr w:rsidR="000D3EF5" w:rsidRPr="000902BF" w:rsidTr="00395425">
        <w:tc>
          <w:tcPr>
            <w:tcW w:w="5000" w:type="pct"/>
            <w:gridSpan w:val="4"/>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I. Profit after tax in 2023</w:t>
            </w:r>
          </w:p>
        </w:tc>
      </w:tr>
      <w:tr w:rsidR="000D3EF5" w:rsidRPr="000902BF" w:rsidTr="00395425">
        <w:tc>
          <w:tcPr>
            <w:tcW w:w="447"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1</w:t>
            </w:r>
          </w:p>
        </w:tc>
        <w:tc>
          <w:tcPr>
            <w:tcW w:w="2231"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Profit before tax</w:t>
            </w:r>
          </w:p>
        </w:tc>
        <w:tc>
          <w:tcPr>
            <w:tcW w:w="1435"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579,148,096</w:t>
            </w:r>
          </w:p>
        </w:tc>
        <w:tc>
          <w:tcPr>
            <w:tcW w:w="88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0D3EF5" w:rsidP="000320AC">
            <w:pPr>
              <w:tabs>
                <w:tab w:val="left" w:pos="432"/>
              </w:tabs>
              <w:spacing w:after="120" w:line="360" w:lineRule="auto"/>
              <w:jc w:val="both"/>
              <w:rPr>
                <w:rFonts w:ascii="Arial" w:eastAsia="Arial" w:hAnsi="Arial" w:cs="Arial"/>
                <w:color w:val="010000"/>
                <w:sz w:val="20"/>
                <w:szCs w:val="20"/>
              </w:rPr>
            </w:pPr>
          </w:p>
        </w:tc>
      </w:tr>
      <w:tr w:rsidR="000D3EF5" w:rsidRPr="000902BF" w:rsidTr="00395425">
        <w:tc>
          <w:tcPr>
            <w:tcW w:w="447"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2</w:t>
            </w:r>
          </w:p>
        </w:tc>
        <w:tc>
          <w:tcPr>
            <w:tcW w:w="2231"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Corporate income tax</w:t>
            </w:r>
          </w:p>
        </w:tc>
        <w:tc>
          <w:tcPr>
            <w:tcW w:w="1435"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118,134,935</w:t>
            </w:r>
          </w:p>
        </w:tc>
        <w:tc>
          <w:tcPr>
            <w:tcW w:w="88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0D3EF5" w:rsidP="000320AC">
            <w:pPr>
              <w:tabs>
                <w:tab w:val="left" w:pos="432"/>
              </w:tabs>
              <w:spacing w:after="120" w:line="360" w:lineRule="auto"/>
              <w:jc w:val="both"/>
              <w:rPr>
                <w:rFonts w:ascii="Arial" w:eastAsia="Arial" w:hAnsi="Arial" w:cs="Arial"/>
                <w:color w:val="010000"/>
                <w:sz w:val="20"/>
                <w:szCs w:val="20"/>
              </w:rPr>
            </w:pPr>
          </w:p>
        </w:tc>
      </w:tr>
      <w:tr w:rsidR="000D3EF5" w:rsidRPr="000902BF" w:rsidTr="00395425">
        <w:tc>
          <w:tcPr>
            <w:tcW w:w="447"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3</w:t>
            </w:r>
          </w:p>
        </w:tc>
        <w:tc>
          <w:tcPr>
            <w:tcW w:w="2231"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Profit after tax in 2023</w:t>
            </w:r>
          </w:p>
        </w:tc>
        <w:tc>
          <w:tcPr>
            <w:tcW w:w="1435"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461,013,161</w:t>
            </w:r>
          </w:p>
        </w:tc>
        <w:tc>
          <w:tcPr>
            <w:tcW w:w="88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0D3EF5" w:rsidP="000320AC">
            <w:pPr>
              <w:tabs>
                <w:tab w:val="left" w:pos="432"/>
              </w:tabs>
              <w:spacing w:after="120" w:line="360" w:lineRule="auto"/>
              <w:jc w:val="both"/>
              <w:rPr>
                <w:rFonts w:ascii="Arial" w:eastAsia="Arial" w:hAnsi="Arial" w:cs="Arial"/>
                <w:color w:val="010000"/>
                <w:sz w:val="20"/>
                <w:szCs w:val="20"/>
              </w:rPr>
            </w:pPr>
          </w:p>
        </w:tc>
      </w:tr>
      <w:tr w:rsidR="000D3EF5" w:rsidRPr="000902BF" w:rsidTr="00395425">
        <w:tc>
          <w:tcPr>
            <w:tcW w:w="447"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4</w:t>
            </w:r>
          </w:p>
        </w:tc>
        <w:tc>
          <w:tcPr>
            <w:tcW w:w="2231"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Accumulated undistributed profit after tax</w:t>
            </w:r>
          </w:p>
        </w:tc>
        <w:tc>
          <w:tcPr>
            <w:tcW w:w="1435"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8,989,410,898</w:t>
            </w:r>
          </w:p>
        </w:tc>
        <w:tc>
          <w:tcPr>
            <w:tcW w:w="88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0D3EF5" w:rsidP="000320AC">
            <w:pPr>
              <w:tabs>
                <w:tab w:val="left" w:pos="432"/>
              </w:tabs>
              <w:spacing w:after="120" w:line="360" w:lineRule="auto"/>
              <w:jc w:val="both"/>
              <w:rPr>
                <w:rFonts w:ascii="Arial" w:eastAsia="Arial" w:hAnsi="Arial" w:cs="Arial"/>
                <w:color w:val="010000"/>
                <w:sz w:val="20"/>
                <w:szCs w:val="20"/>
              </w:rPr>
            </w:pPr>
          </w:p>
        </w:tc>
      </w:tr>
      <w:tr w:rsidR="000D3EF5" w:rsidRPr="000902BF" w:rsidTr="00395425">
        <w:tc>
          <w:tcPr>
            <w:tcW w:w="5000" w:type="pct"/>
            <w:gridSpan w:val="4"/>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II. Distribution of profit</w:t>
            </w:r>
          </w:p>
        </w:tc>
      </w:tr>
      <w:tr w:rsidR="000D3EF5" w:rsidRPr="000902BF" w:rsidTr="00395425">
        <w:tc>
          <w:tcPr>
            <w:tcW w:w="447"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1</w:t>
            </w:r>
          </w:p>
        </w:tc>
        <w:tc>
          <w:tcPr>
            <w:tcW w:w="2231"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Appropriation for funds</w:t>
            </w:r>
          </w:p>
        </w:tc>
        <w:tc>
          <w:tcPr>
            <w:tcW w:w="1435"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0</w:t>
            </w:r>
          </w:p>
        </w:tc>
        <w:tc>
          <w:tcPr>
            <w:tcW w:w="88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0D3EF5" w:rsidP="000320AC">
            <w:pPr>
              <w:tabs>
                <w:tab w:val="left" w:pos="432"/>
              </w:tabs>
              <w:spacing w:after="120" w:line="360" w:lineRule="auto"/>
              <w:jc w:val="both"/>
              <w:rPr>
                <w:rFonts w:ascii="Arial" w:eastAsia="Arial" w:hAnsi="Arial" w:cs="Arial"/>
                <w:color w:val="010000"/>
                <w:sz w:val="20"/>
                <w:szCs w:val="20"/>
              </w:rPr>
            </w:pPr>
          </w:p>
        </w:tc>
      </w:tr>
      <w:tr w:rsidR="000D3EF5" w:rsidRPr="000902BF" w:rsidTr="00395425">
        <w:tc>
          <w:tcPr>
            <w:tcW w:w="447"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2</w:t>
            </w:r>
          </w:p>
        </w:tc>
        <w:tc>
          <w:tcPr>
            <w:tcW w:w="2231"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Remuneration for the Board of Directors and the Supervisory Board in 2023</w:t>
            </w:r>
          </w:p>
        </w:tc>
        <w:tc>
          <w:tcPr>
            <w:tcW w:w="1435"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0</w:t>
            </w:r>
          </w:p>
        </w:tc>
        <w:tc>
          <w:tcPr>
            <w:tcW w:w="88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0D3EF5" w:rsidP="000320AC">
            <w:pPr>
              <w:tabs>
                <w:tab w:val="left" w:pos="432"/>
              </w:tabs>
              <w:spacing w:after="120" w:line="360" w:lineRule="auto"/>
              <w:jc w:val="both"/>
              <w:rPr>
                <w:rFonts w:ascii="Arial" w:eastAsia="Arial" w:hAnsi="Arial" w:cs="Arial"/>
                <w:color w:val="010000"/>
                <w:sz w:val="20"/>
                <w:szCs w:val="20"/>
              </w:rPr>
            </w:pPr>
          </w:p>
        </w:tc>
      </w:tr>
      <w:tr w:rsidR="000D3EF5" w:rsidRPr="000902BF" w:rsidTr="00395425">
        <w:tc>
          <w:tcPr>
            <w:tcW w:w="447"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3</w:t>
            </w:r>
          </w:p>
        </w:tc>
        <w:tc>
          <w:tcPr>
            <w:tcW w:w="2231"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No dividend payment in 2023</w:t>
            </w:r>
          </w:p>
        </w:tc>
        <w:tc>
          <w:tcPr>
            <w:tcW w:w="1435" w:type="pct"/>
            <w:tcBorders>
              <w:top w:val="single" w:sz="4" w:space="0" w:color="000000"/>
              <w:lef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w:t>
            </w:r>
          </w:p>
        </w:tc>
        <w:tc>
          <w:tcPr>
            <w:tcW w:w="88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0D3EF5" w:rsidP="000320AC">
            <w:pPr>
              <w:tabs>
                <w:tab w:val="left" w:pos="432"/>
              </w:tabs>
              <w:spacing w:after="120" w:line="360" w:lineRule="auto"/>
              <w:jc w:val="both"/>
              <w:rPr>
                <w:rFonts w:ascii="Arial" w:eastAsia="Arial" w:hAnsi="Arial" w:cs="Arial"/>
                <w:color w:val="010000"/>
                <w:sz w:val="20"/>
                <w:szCs w:val="20"/>
              </w:rPr>
            </w:pPr>
          </w:p>
        </w:tc>
      </w:tr>
      <w:tr w:rsidR="000D3EF5" w:rsidRPr="000902BF" w:rsidTr="00395425">
        <w:tc>
          <w:tcPr>
            <w:tcW w:w="5000" w:type="pct"/>
            <w:gridSpan w:val="4"/>
            <w:tcBorders>
              <w:top w:val="single" w:sz="4" w:space="0" w:color="000000"/>
              <w:left w:val="single" w:sz="4" w:space="0" w:color="000000"/>
              <w:right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III. Remaining profit</w:t>
            </w:r>
          </w:p>
        </w:tc>
      </w:tr>
      <w:tr w:rsidR="000D3EF5" w:rsidRPr="000902BF" w:rsidTr="00395425">
        <w:tc>
          <w:tcPr>
            <w:tcW w:w="44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1</w:t>
            </w:r>
          </w:p>
        </w:tc>
        <w:tc>
          <w:tcPr>
            <w:tcW w:w="223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Remaining profit</w:t>
            </w:r>
          </w:p>
        </w:tc>
        <w:tc>
          <w:tcPr>
            <w:tcW w:w="143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8,989</w:t>
            </w:r>
            <w:r w:rsidR="00A82BE0" w:rsidRPr="000902BF">
              <w:rPr>
                <w:rFonts w:ascii="Arial" w:hAnsi="Arial" w:cs="Arial"/>
                <w:color w:val="010000"/>
                <w:sz w:val="20"/>
              </w:rPr>
              <w:t>,</w:t>
            </w:r>
            <w:r w:rsidRPr="000902BF">
              <w:rPr>
                <w:rFonts w:ascii="Arial" w:hAnsi="Arial" w:cs="Arial"/>
                <w:color w:val="010000"/>
                <w:sz w:val="20"/>
              </w:rPr>
              <w:t>410</w:t>
            </w:r>
            <w:r w:rsidR="00A82BE0" w:rsidRPr="000902BF">
              <w:rPr>
                <w:rFonts w:ascii="Arial" w:hAnsi="Arial" w:cs="Arial"/>
                <w:color w:val="010000"/>
                <w:sz w:val="20"/>
              </w:rPr>
              <w:t>,</w:t>
            </w:r>
            <w:r w:rsidRPr="000902BF">
              <w:rPr>
                <w:rFonts w:ascii="Arial" w:hAnsi="Arial" w:cs="Arial"/>
                <w:color w:val="010000"/>
                <w:sz w:val="20"/>
              </w:rPr>
              <w:t>898</w:t>
            </w: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0D3EF5" w:rsidRPr="000902BF" w:rsidRDefault="000D3EF5" w:rsidP="000320AC">
            <w:pPr>
              <w:tabs>
                <w:tab w:val="left" w:pos="432"/>
              </w:tabs>
              <w:spacing w:after="120" w:line="360" w:lineRule="auto"/>
              <w:jc w:val="both"/>
              <w:rPr>
                <w:rFonts w:ascii="Arial" w:eastAsia="Arial" w:hAnsi="Arial" w:cs="Arial"/>
                <w:color w:val="010000"/>
                <w:sz w:val="20"/>
                <w:szCs w:val="20"/>
              </w:rPr>
            </w:pPr>
          </w:p>
        </w:tc>
      </w:tr>
    </w:tbl>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lastRenderedPageBreak/>
        <w:t xml:space="preserve">‎‎Article 3. Approve the Supplement of Business Lines and the </w:t>
      </w:r>
      <w:r w:rsidR="00A82BE0" w:rsidRPr="000902BF">
        <w:rPr>
          <w:rFonts w:ascii="Arial" w:hAnsi="Arial" w:cs="Arial"/>
          <w:color w:val="010000"/>
          <w:sz w:val="20"/>
        </w:rPr>
        <w:t>amendment</w:t>
      </w:r>
      <w:r w:rsidRPr="000902BF">
        <w:rPr>
          <w:rFonts w:ascii="Arial" w:hAnsi="Arial" w:cs="Arial"/>
          <w:color w:val="010000"/>
          <w:sz w:val="20"/>
        </w:rPr>
        <w:t xml:space="preserve">, </w:t>
      </w:r>
      <w:r w:rsidR="00A82BE0" w:rsidRPr="000902BF">
        <w:rPr>
          <w:rFonts w:ascii="Arial" w:hAnsi="Arial" w:cs="Arial"/>
          <w:color w:val="010000"/>
          <w:sz w:val="20"/>
        </w:rPr>
        <w:t xml:space="preserve">and </w:t>
      </w:r>
      <w:r w:rsidRPr="000902BF">
        <w:rPr>
          <w:rFonts w:ascii="Arial" w:hAnsi="Arial" w:cs="Arial"/>
          <w:color w:val="010000"/>
          <w:sz w:val="20"/>
        </w:rPr>
        <w:t>supplement of the Charter.</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‎‎Article 4. Approve the business plan for 2024</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Unit: VND</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1"/>
        <w:gridCol w:w="1723"/>
        <w:gridCol w:w="1832"/>
        <w:gridCol w:w="1825"/>
        <w:gridCol w:w="1836"/>
        <w:gridCol w:w="1270"/>
      </w:tblGrid>
      <w:tr w:rsidR="000D3EF5" w:rsidRPr="000902BF" w:rsidTr="00395425">
        <w:tc>
          <w:tcPr>
            <w:tcW w:w="2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No.</w:t>
            </w:r>
          </w:p>
        </w:tc>
        <w:tc>
          <w:tcPr>
            <w:tcW w:w="955"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Main targets</w:t>
            </w:r>
          </w:p>
        </w:tc>
        <w:tc>
          <w:tcPr>
            <w:tcW w:w="101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Plan 2023</w:t>
            </w:r>
          </w:p>
        </w:tc>
        <w:tc>
          <w:tcPr>
            <w:tcW w:w="1012"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Results 2023</w:t>
            </w:r>
          </w:p>
        </w:tc>
        <w:tc>
          <w:tcPr>
            <w:tcW w:w="1018"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Plan 2024</w:t>
            </w:r>
          </w:p>
        </w:tc>
        <w:tc>
          <w:tcPr>
            <w:tcW w:w="70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Plan 2024/Results 2023</w:t>
            </w:r>
          </w:p>
        </w:tc>
      </w:tr>
      <w:tr w:rsidR="000D3EF5" w:rsidRPr="000902BF" w:rsidTr="00395425">
        <w:tc>
          <w:tcPr>
            <w:tcW w:w="2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1</w:t>
            </w:r>
          </w:p>
        </w:tc>
        <w:tc>
          <w:tcPr>
            <w:tcW w:w="955"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Revenue from goods sales and service provision</w:t>
            </w:r>
          </w:p>
        </w:tc>
        <w:tc>
          <w:tcPr>
            <w:tcW w:w="101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300,000,000,000</w:t>
            </w:r>
          </w:p>
        </w:tc>
        <w:tc>
          <w:tcPr>
            <w:tcW w:w="1012"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215,651,459,314</w:t>
            </w:r>
          </w:p>
        </w:tc>
        <w:tc>
          <w:tcPr>
            <w:tcW w:w="1018"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300,000,000,000</w:t>
            </w:r>
          </w:p>
        </w:tc>
        <w:tc>
          <w:tcPr>
            <w:tcW w:w="70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139.11%</w:t>
            </w:r>
          </w:p>
        </w:tc>
      </w:tr>
      <w:tr w:rsidR="000D3EF5" w:rsidRPr="000902BF" w:rsidTr="00395425">
        <w:tc>
          <w:tcPr>
            <w:tcW w:w="2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2</w:t>
            </w:r>
          </w:p>
        </w:tc>
        <w:tc>
          <w:tcPr>
            <w:tcW w:w="955"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Profit before tax</w:t>
            </w:r>
          </w:p>
        </w:tc>
        <w:tc>
          <w:tcPr>
            <w:tcW w:w="101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6,000,000,000</w:t>
            </w:r>
          </w:p>
        </w:tc>
        <w:tc>
          <w:tcPr>
            <w:tcW w:w="1012"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579,148,096</w:t>
            </w:r>
          </w:p>
        </w:tc>
        <w:tc>
          <w:tcPr>
            <w:tcW w:w="1018"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6,250,000,000</w:t>
            </w:r>
          </w:p>
        </w:tc>
        <w:tc>
          <w:tcPr>
            <w:tcW w:w="70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1079.17%</w:t>
            </w:r>
          </w:p>
        </w:tc>
      </w:tr>
      <w:tr w:rsidR="000D3EF5" w:rsidRPr="000902BF" w:rsidTr="00395425">
        <w:tc>
          <w:tcPr>
            <w:tcW w:w="2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3</w:t>
            </w:r>
          </w:p>
        </w:tc>
        <w:tc>
          <w:tcPr>
            <w:tcW w:w="955"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Profit after tax of the Company’s shareholders</w:t>
            </w:r>
          </w:p>
        </w:tc>
        <w:tc>
          <w:tcPr>
            <w:tcW w:w="101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4,800,000,000</w:t>
            </w:r>
          </w:p>
        </w:tc>
        <w:tc>
          <w:tcPr>
            <w:tcW w:w="1012"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461,013,161</w:t>
            </w:r>
          </w:p>
        </w:tc>
        <w:tc>
          <w:tcPr>
            <w:tcW w:w="1018"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5,000,000,000</w:t>
            </w:r>
          </w:p>
        </w:tc>
        <w:tc>
          <w:tcPr>
            <w:tcW w:w="70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1084.57%</w:t>
            </w:r>
          </w:p>
        </w:tc>
      </w:tr>
      <w:tr w:rsidR="000D3EF5" w:rsidRPr="000902BF" w:rsidTr="00395425">
        <w:tc>
          <w:tcPr>
            <w:tcW w:w="29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4</w:t>
            </w:r>
          </w:p>
        </w:tc>
        <w:tc>
          <w:tcPr>
            <w:tcW w:w="955"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Dividend</w:t>
            </w:r>
          </w:p>
        </w:tc>
        <w:tc>
          <w:tcPr>
            <w:tcW w:w="1016"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0%</w:t>
            </w:r>
          </w:p>
        </w:tc>
        <w:tc>
          <w:tcPr>
            <w:tcW w:w="1012"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0%</w:t>
            </w:r>
          </w:p>
        </w:tc>
        <w:tc>
          <w:tcPr>
            <w:tcW w:w="1018"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0%</w:t>
            </w:r>
          </w:p>
        </w:tc>
        <w:tc>
          <w:tcPr>
            <w:tcW w:w="704" w:type="pct"/>
            <w:shd w:val="clear" w:color="auto" w:fill="auto"/>
            <w:tcMar>
              <w:top w:w="0" w:type="dxa"/>
              <w:bottom w:w="0" w:type="dxa"/>
            </w:tcMar>
            <w:vAlign w:val="center"/>
          </w:tcPr>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w:t>
            </w:r>
          </w:p>
        </w:tc>
      </w:tr>
    </w:tbl>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 xml:space="preserve">‎‎Article 5. Approve the selection of </w:t>
      </w:r>
      <w:r w:rsidR="00A82BE0" w:rsidRPr="000902BF">
        <w:rPr>
          <w:rFonts w:ascii="Arial" w:hAnsi="Arial" w:cs="Arial"/>
          <w:color w:val="010000"/>
          <w:sz w:val="20"/>
        </w:rPr>
        <w:t xml:space="preserve">an </w:t>
      </w:r>
      <w:r w:rsidRPr="000902BF">
        <w:rPr>
          <w:rFonts w:ascii="Arial" w:hAnsi="Arial" w:cs="Arial"/>
          <w:color w:val="010000"/>
          <w:sz w:val="20"/>
        </w:rPr>
        <w:t>audit company for the Financial Statements 2024</w:t>
      </w:r>
      <w:r w:rsidR="00A82BE0" w:rsidRPr="000902BF">
        <w:rPr>
          <w:rFonts w:ascii="Arial" w:hAnsi="Arial" w:cs="Arial"/>
          <w:color w:val="010000"/>
          <w:sz w:val="20"/>
        </w:rPr>
        <w:t>.</w:t>
      </w:r>
      <w:r w:rsidRPr="000902BF">
        <w:rPr>
          <w:rFonts w:ascii="Arial" w:hAnsi="Arial" w:cs="Arial"/>
          <w:color w:val="010000"/>
          <w:sz w:val="20"/>
        </w:rPr>
        <w:t xml:space="preserve"> </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 xml:space="preserve">‎‎Article 5. Approve the remuneration settlement plan in 2024 for the Board of Directors, </w:t>
      </w:r>
      <w:r w:rsidR="00A82BE0" w:rsidRPr="000902BF">
        <w:rPr>
          <w:rFonts w:ascii="Arial" w:hAnsi="Arial" w:cs="Arial"/>
          <w:color w:val="010000"/>
          <w:sz w:val="20"/>
        </w:rPr>
        <w:t xml:space="preserve">and </w:t>
      </w:r>
      <w:r w:rsidRPr="000902BF">
        <w:rPr>
          <w:rFonts w:ascii="Arial" w:hAnsi="Arial" w:cs="Arial"/>
          <w:color w:val="010000"/>
          <w:sz w:val="20"/>
        </w:rPr>
        <w:t>the Supervisory Board.</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‎‎Article 6. Approve the authorization for the Board of Directors to decide on certain matters within the authority of the General Meeting of Shareholders.</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 xml:space="preserve">‎‎Article 7. Approve plan on share issuance </w:t>
      </w:r>
      <w:r w:rsidR="00A82BE0" w:rsidRPr="000902BF">
        <w:rPr>
          <w:rFonts w:ascii="Arial" w:hAnsi="Arial" w:cs="Arial"/>
          <w:color w:val="010000"/>
          <w:sz w:val="20"/>
        </w:rPr>
        <w:t>for increasing charter capital.</w:t>
      </w:r>
    </w:p>
    <w:p w:rsidR="000D3EF5" w:rsidRPr="000902BF" w:rsidRDefault="00CE4BAA" w:rsidP="000320AC">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I. General Information on the Company's outstanding shares</w:t>
      </w:r>
    </w:p>
    <w:p w:rsidR="000D3EF5" w:rsidRPr="000902BF" w:rsidRDefault="00CE4BAA" w:rsidP="000320AC">
      <w:pPr>
        <w:numPr>
          <w:ilvl w:val="0"/>
          <w:numId w:val="3"/>
        </w:numPr>
        <w:pBdr>
          <w:top w:val="nil"/>
          <w:left w:val="nil"/>
          <w:bottom w:val="nil"/>
          <w:right w:val="nil"/>
          <w:between w:val="nil"/>
        </w:pBdr>
        <w:tabs>
          <w:tab w:val="left" w:pos="432"/>
          <w:tab w:val="left" w:pos="2887"/>
        </w:tabs>
        <w:spacing w:after="120" w:line="360" w:lineRule="auto"/>
        <w:ind w:left="0" w:firstLine="0"/>
        <w:jc w:val="both"/>
        <w:rPr>
          <w:rFonts w:ascii="Arial" w:eastAsia="Arial" w:hAnsi="Arial" w:cs="Arial"/>
          <w:color w:val="010000"/>
          <w:sz w:val="20"/>
          <w:szCs w:val="20"/>
        </w:rPr>
      </w:pPr>
      <w:r w:rsidRPr="000902BF">
        <w:rPr>
          <w:rFonts w:ascii="Arial" w:hAnsi="Arial" w:cs="Arial"/>
          <w:color w:val="010000"/>
          <w:sz w:val="20"/>
        </w:rPr>
        <w:t>Organization</w:t>
      </w:r>
      <w:r w:rsidR="00A82BE0" w:rsidRPr="000902BF">
        <w:rPr>
          <w:rFonts w:ascii="Arial" w:hAnsi="Arial" w:cs="Arial"/>
          <w:color w:val="010000"/>
          <w:sz w:val="20"/>
        </w:rPr>
        <w:t>:</w:t>
      </w:r>
      <w:r w:rsidRPr="000902BF">
        <w:rPr>
          <w:rFonts w:ascii="Arial" w:hAnsi="Arial" w:cs="Arial"/>
          <w:color w:val="010000"/>
          <w:sz w:val="20"/>
        </w:rPr>
        <w:t xml:space="preserve"> Ego Vietnam Investment Joint Stock Company</w:t>
      </w:r>
    </w:p>
    <w:p w:rsidR="000D3EF5" w:rsidRPr="000902BF" w:rsidRDefault="00CE4BAA" w:rsidP="000320A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bookmarkStart w:id="1" w:name="_heading=h.gjdgxs"/>
      <w:bookmarkEnd w:id="1"/>
      <w:r w:rsidRPr="000902BF">
        <w:rPr>
          <w:rFonts w:ascii="Arial" w:hAnsi="Arial" w:cs="Arial"/>
          <w:color w:val="010000"/>
          <w:sz w:val="20"/>
        </w:rPr>
        <w:t>Share name: Shares of Ego Vietnam Investment Joint Stock Company</w:t>
      </w:r>
    </w:p>
    <w:p w:rsidR="000D3EF5" w:rsidRPr="000902BF" w:rsidRDefault="00CE4BAA" w:rsidP="000320A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902BF">
        <w:rPr>
          <w:rFonts w:ascii="Arial" w:hAnsi="Arial" w:cs="Arial"/>
          <w:color w:val="010000"/>
          <w:sz w:val="20"/>
        </w:rPr>
        <w:t>Share code: HKT</w:t>
      </w:r>
    </w:p>
    <w:p w:rsidR="000D3EF5" w:rsidRPr="000902BF" w:rsidRDefault="00CE4BAA" w:rsidP="000320A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902BF">
        <w:rPr>
          <w:rFonts w:ascii="Arial" w:hAnsi="Arial" w:cs="Arial"/>
          <w:color w:val="010000"/>
          <w:sz w:val="20"/>
        </w:rPr>
        <w:t>Share type: Common share</w:t>
      </w:r>
    </w:p>
    <w:p w:rsidR="000D3EF5" w:rsidRPr="000902BF" w:rsidRDefault="00CE4BAA" w:rsidP="000320A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902BF">
        <w:rPr>
          <w:rFonts w:ascii="Arial" w:hAnsi="Arial" w:cs="Arial"/>
          <w:color w:val="010000"/>
          <w:sz w:val="20"/>
        </w:rPr>
        <w:t>Par value: VND 10,000/share</w:t>
      </w:r>
    </w:p>
    <w:p w:rsidR="000D3EF5" w:rsidRPr="000902BF" w:rsidRDefault="00CE4BAA" w:rsidP="000320A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902BF">
        <w:rPr>
          <w:rFonts w:ascii="Arial" w:hAnsi="Arial" w:cs="Arial"/>
          <w:color w:val="010000"/>
          <w:sz w:val="20"/>
        </w:rPr>
        <w:t>Total number of issued shares: 6,135,029 shares, of which:</w:t>
      </w:r>
    </w:p>
    <w:p w:rsidR="000D3EF5" w:rsidRPr="000902BF" w:rsidRDefault="00CE4BAA" w:rsidP="000320AC">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902BF">
        <w:rPr>
          <w:rFonts w:ascii="Arial" w:hAnsi="Arial" w:cs="Arial"/>
          <w:color w:val="010000"/>
          <w:sz w:val="20"/>
        </w:rPr>
        <w:t>Number of treasury shares: 0 shares</w:t>
      </w:r>
    </w:p>
    <w:p w:rsidR="000D3EF5" w:rsidRPr="000902BF" w:rsidRDefault="00CE4BAA" w:rsidP="000320AC">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902BF">
        <w:rPr>
          <w:rFonts w:ascii="Arial" w:hAnsi="Arial" w:cs="Arial"/>
          <w:color w:val="010000"/>
          <w:sz w:val="20"/>
        </w:rPr>
        <w:t>Number of outstanding shares: 6,135,029 shares</w:t>
      </w:r>
    </w:p>
    <w:p w:rsidR="000D3EF5" w:rsidRPr="000902BF" w:rsidRDefault="00A82BE0" w:rsidP="000320AC">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902BF">
        <w:rPr>
          <w:rFonts w:ascii="Arial" w:hAnsi="Arial" w:cs="Arial"/>
          <w:color w:val="010000"/>
          <w:sz w:val="20"/>
        </w:rPr>
        <w:t xml:space="preserve">Current charter capital: </w:t>
      </w:r>
      <w:r w:rsidR="00CE4BAA" w:rsidRPr="000902BF">
        <w:rPr>
          <w:rFonts w:ascii="Arial" w:hAnsi="Arial" w:cs="Arial"/>
          <w:color w:val="010000"/>
          <w:sz w:val="20"/>
        </w:rPr>
        <w:t>VND 61,350,290,000</w:t>
      </w:r>
    </w:p>
    <w:p w:rsidR="000D3EF5" w:rsidRPr="000902BF" w:rsidRDefault="00CE4BAA" w:rsidP="000320AC">
      <w:pPr>
        <w:keepNext/>
        <w:pBdr>
          <w:top w:val="nil"/>
          <w:left w:val="nil"/>
          <w:bottom w:val="nil"/>
          <w:right w:val="nil"/>
          <w:between w:val="nil"/>
        </w:pBdr>
        <w:tabs>
          <w:tab w:val="left" w:pos="432"/>
          <w:tab w:val="left" w:pos="535"/>
        </w:tabs>
        <w:spacing w:after="120" w:line="360" w:lineRule="auto"/>
        <w:jc w:val="both"/>
        <w:rPr>
          <w:rFonts w:ascii="Arial" w:eastAsia="Arial" w:hAnsi="Arial" w:cs="Arial"/>
          <w:color w:val="010000"/>
          <w:sz w:val="20"/>
          <w:szCs w:val="20"/>
        </w:rPr>
      </w:pPr>
      <w:r w:rsidRPr="000902BF">
        <w:rPr>
          <w:rFonts w:ascii="Arial" w:hAnsi="Arial" w:cs="Arial"/>
          <w:color w:val="010000"/>
          <w:sz w:val="20"/>
        </w:rPr>
        <w:lastRenderedPageBreak/>
        <w:t>II. Plan on share issuance for increasing charter capital.</w:t>
      </w:r>
    </w:p>
    <w:p w:rsidR="000D3EF5" w:rsidRPr="000902BF" w:rsidRDefault="00CE4BAA" w:rsidP="000320AC">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902BF">
        <w:rPr>
          <w:rFonts w:ascii="Arial" w:hAnsi="Arial" w:cs="Arial"/>
          <w:color w:val="010000"/>
          <w:sz w:val="20"/>
        </w:rPr>
        <w:t>The increase in charter capital of the company is expected to be carried out through the following plan:</w:t>
      </w:r>
    </w:p>
    <w:p w:rsidR="000D3EF5" w:rsidRPr="000902BF" w:rsidRDefault="00CE4BAA" w:rsidP="000320AC">
      <w:pPr>
        <w:numPr>
          <w:ilvl w:val="0"/>
          <w:numId w:val="1"/>
        </w:numPr>
        <w:pBdr>
          <w:top w:val="nil"/>
          <w:left w:val="nil"/>
          <w:bottom w:val="nil"/>
          <w:right w:val="nil"/>
          <w:between w:val="nil"/>
        </w:pBdr>
        <w:tabs>
          <w:tab w:val="left" w:pos="432"/>
          <w:tab w:val="left" w:pos="514"/>
        </w:tabs>
        <w:spacing w:after="120" w:line="360" w:lineRule="auto"/>
        <w:jc w:val="both"/>
        <w:rPr>
          <w:rFonts w:ascii="Arial" w:eastAsia="Arial" w:hAnsi="Arial" w:cs="Arial"/>
          <w:color w:val="010000"/>
          <w:sz w:val="20"/>
          <w:szCs w:val="20"/>
        </w:rPr>
      </w:pPr>
      <w:r w:rsidRPr="000902BF">
        <w:rPr>
          <w:rFonts w:ascii="Arial" w:hAnsi="Arial" w:cs="Arial"/>
          <w:color w:val="010000"/>
          <w:sz w:val="20"/>
        </w:rPr>
        <w:t>Issuance method: Offering to existing shareholders by the method of exercising the rights to buy.</w:t>
      </w:r>
    </w:p>
    <w:p w:rsidR="000D3EF5" w:rsidRPr="000902BF" w:rsidRDefault="00CE4BAA" w:rsidP="000320AC">
      <w:pPr>
        <w:numPr>
          <w:ilvl w:val="0"/>
          <w:numId w:val="1"/>
        </w:numPr>
        <w:pBdr>
          <w:top w:val="nil"/>
          <w:left w:val="nil"/>
          <w:bottom w:val="nil"/>
          <w:right w:val="nil"/>
          <w:between w:val="nil"/>
        </w:pBdr>
        <w:tabs>
          <w:tab w:val="left" w:pos="432"/>
          <w:tab w:val="left" w:pos="514"/>
        </w:tabs>
        <w:spacing w:after="120" w:line="360" w:lineRule="auto"/>
        <w:jc w:val="both"/>
        <w:rPr>
          <w:rFonts w:ascii="Arial" w:eastAsia="Arial" w:hAnsi="Arial" w:cs="Arial"/>
          <w:color w:val="010000"/>
          <w:sz w:val="20"/>
          <w:szCs w:val="20"/>
        </w:rPr>
      </w:pPr>
      <w:r w:rsidRPr="000902BF">
        <w:rPr>
          <w:rFonts w:ascii="Arial" w:hAnsi="Arial" w:cs="Arial"/>
          <w:color w:val="010000"/>
          <w:sz w:val="20"/>
        </w:rPr>
        <w:t xml:space="preserve">Subjects of the issuance: Existing shareholders </w:t>
      </w:r>
      <w:r w:rsidR="00A82BE0" w:rsidRPr="000902BF">
        <w:rPr>
          <w:rFonts w:ascii="Arial" w:hAnsi="Arial" w:cs="Arial"/>
          <w:color w:val="010000"/>
          <w:sz w:val="20"/>
        </w:rPr>
        <w:t>on</w:t>
      </w:r>
      <w:r w:rsidRPr="000902BF">
        <w:rPr>
          <w:rFonts w:ascii="Arial" w:hAnsi="Arial" w:cs="Arial"/>
          <w:color w:val="010000"/>
          <w:sz w:val="20"/>
        </w:rPr>
        <w:t xml:space="preserve"> the list of shareholders at the record date to exercise the right to receive issued shares to increase share capital from owner’s equity sources;</w:t>
      </w:r>
    </w:p>
    <w:p w:rsidR="000D3EF5" w:rsidRPr="000902BF" w:rsidRDefault="00CE4BAA"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 xml:space="preserve">Issuance rate: Corresponding to the exercise rate of rights for existing shareholders: 1:1, according to which, based on the record date for the list of rights allocation, existing shareholders who own 01 share will be entitled to 01 right to buy shares; for each right to buy, the shareholders can purchase 01 </w:t>
      </w:r>
      <w:r w:rsidR="00A82BE0" w:rsidRPr="000902BF">
        <w:rPr>
          <w:rFonts w:ascii="Arial" w:hAnsi="Arial" w:cs="Arial"/>
          <w:color w:val="010000"/>
          <w:sz w:val="20"/>
        </w:rPr>
        <w:t>additional</w:t>
      </w:r>
      <w:r w:rsidRPr="000902BF">
        <w:rPr>
          <w:rFonts w:ascii="Arial" w:hAnsi="Arial" w:cs="Arial"/>
          <w:color w:val="010000"/>
          <w:sz w:val="20"/>
        </w:rPr>
        <w:t xml:space="preserve"> issued share.</w:t>
      </w:r>
    </w:p>
    <w:p w:rsidR="000D3EF5" w:rsidRPr="000902BF" w:rsidRDefault="00CE4BAA"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For example: Shareholder A owns 100 shares at the record date for the list of shareholders. With a 1:1 exercise rate, shareholder A can buy 100 new shares</w:t>
      </w:r>
    </w:p>
    <w:p w:rsidR="000D3EF5" w:rsidRPr="000902BF" w:rsidRDefault="00CE4BAA" w:rsidP="000320AC">
      <w:pPr>
        <w:numPr>
          <w:ilvl w:val="0"/>
          <w:numId w:val="2"/>
        </w:numPr>
        <w:pBdr>
          <w:top w:val="nil"/>
          <w:left w:val="nil"/>
          <w:bottom w:val="nil"/>
          <w:right w:val="nil"/>
          <w:between w:val="nil"/>
        </w:pBdr>
        <w:tabs>
          <w:tab w:val="left" w:pos="432"/>
          <w:tab w:val="left" w:pos="569"/>
        </w:tabs>
        <w:spacing w:after="120" w:line="360" w:lineRule="auto"/>
        <w:jc w:val="both"/>
        <w:rPr>
          <w:rFonts w:ascii="Arial" w:eastAsia="Arial" w:hAnsi="Arial" w:cs="Arial"/>
          <w:color w:val="010000"/>
          <w:sz w:val="20"/>
          <w:szCs w:val="20"/>
        </w:rPr>
      </w:pPr>
      <w:r w:rsidRPr="000902BF">
        <w:rPr>
          <w:rFonts w:ascii="Arial" w:hAnsi="Arial" w:cs="Arial"/>
          <w:color w:val="010000"/>
          <w:sz w:val="20"/>
        </w:rPr>
        <w:t>Total expected additional issued shares:</w:t>
      </w:r>
      <w:r w:rsidR="009C7C0D" w:rsidRPr="000902BF">
        <w:rPr>
          <w:rFonts w:ascii="Arial" w:hAnsi="Arial" w:cs="Arial"/>
          <w:color w:val="010000"/>
          <w:sz w:val="20"/>
        </w:rPr>
        <w:t xml:space="preserve"> </w:t>
      </w:r>
      <w:r w:rsidRPr="000902BF">
        <w:rPr>
          <w:rFonts w:ascii="Arial" w:hAnsi="Arial" w:cs="Arial"/>
          <w:color w:val="010000"/>
          <w:sz w:val="20"/>
        </w:rPr>
        <w:t>6,135,029 shares</w:t>
      </w:r>
    </w:p>
    <w:p w:rsidR="000D3EF5" w:rsidRPr="000902BF" w:rsidRDefault="00CE4BAA" w:rsidP="000320AC">
      <w:pPr>
        <w:numPr>
          <w:ilvl w:val="0"/>
          <w:numId w:val="2"/>
        </w:numPr>
        <w:pBdr>
          <w:top w:val="nil"/>
          <w:left w:val="nil"/>
          <w:bottom w:val="nil"/>
          <w:right w:val="nil"/>
          <w:between w:val="nil"/>
        </w:pBdr>
        <w:tabs>
          <w:tab w:val="left" w:pos="432"/>
          <w:tab w:val="left" w:pos="569"/>
        </w:tabs>
        <w:spacing w:after="120" w:line="360" w:lineRule="auto"/>
        <w:jc w:val="both"/>
        <w:rPr>
          <w:rFonts w:ascii="Arial" w:eastAsia="Arial" w:hAnsi="Arial" w:cs="Arial"/>
          <w:color w:val="010000"/>
          <w:sz w:val="20"/>
          <w:szCs w:val="20"/>
        </w:rPr>
      </w:pPr>
      <w:r w:rsidRPr="000902BF">
        <w:rPr>
          <w:rFonts w:ascii="Arial" w:hAnsi="Arial" w:cs="Arial"/>
          <w:color w:val="010000"/>
          <w:sz w:val="20"/>
        </w:rPr>
        <w:t>Expected offering price: VND 10,000/share</w:t>
      </w:r>
    </w:p>
    <w:p w:rsidR="000D3EF5" w:rsidRPr="000902BF" w:rsidRDefault="00CE4BAA" w:rsidP="000320AC">
      <w:pPr>
        <w:numPr>
          <w:ilvl w:val="0"/>
          <w:numId w:val="2"/>
        </w:numPr>
        <w:pBdr>
          <w:top w:val="nil"/>
          <w:left w:val="nil"/>
          <w:bottom w:val="nil"/>
          <w:right w:val="nil"/>
          <w:between w:val="nil"/>
        </w:pBdr>
        <w:tabs>
          <w:tab w:val="left" w:pos="432"/>
          <w:tab w:val="left" w:pos="569"/>
        </w:tabs>
        <w:spacing w:after="120" w:line="360" w:lineRule="auto"/>
        <w:jc w:val="both"/>
        <w:rPr>
          <w:rFonts w:ascii="Arial" w:eastAsia="Arial" w:hAnsi="Arial" w:cs="Arial"/>
          <w:color w:val="010000"/>
          <w:sz w:val="20"/>
          <w:szCs w:val="20"/>
        </w:rPr>
      </w:pPr>
      <w:r w:rsidRPr="000902BF">
        <w:rPr>
          <w:rFonts w:ascii="Arial" w:hAnsi="Arial" w:cs="Arial"/>
          <w:color w:val="010000"/>
          <w:sz w:val="20"/>
        </w:rPr>
        <w:t>Total expected increase in charter capital: VND 61,350,290,000</w:t>
      </w:r>
    </w:p>
    <w:p w:rsidR="000D3EF5" w:rsidRPr="000902BF" w:rsidRDefault="00CE4BAA" w:rsidP="000320AC">
      <w:pPr>
        <w:numPr>
          <w:ilvl w:val="0"/>
          <w:numId w:val="2"/>
        </w:numPr>
        <w:pBdr>
          <w:top w:val="nil"/>
          <w:left w:val="nil"/>
          <w:bottom w:val="nil"/>
          <w:right w:val="nil"/>
          <w:between w:val="nil"/>
        </w:pBdr>
        <w:tabs>
          <w:tab w:val="left" w:pos="432"/>
          <w:tab w:val="left" w:pos="569"/>
        </w:tabs>
        <w:spacing w:after="120" w:line="360" w:lineRule="auto"/>
        <w:jc w:val="both"/>
        <w:rPr>
          <w:rFonts w:ascii="Arial" w:eastAsia="Arial" w:hAnsi="Arial" w:cs="Arial"/>
          <w:color w:val="010000"/>
          <w:sz w:val="20"/>
          <w:szCs w:val="20"/>
        </w:rPr>
      </w:pPr>
      <w:r w:rsidRPr="000902BF">
        <w:rPr>
          <w:rFonts w:ascii="Arial" w:hAnsi="Arial" w:cs="Arial"/>
          <w:color w:val="010000"/>
          <w:sz w:val="20"/>
        </w:rPr>
        <w:t>Expected charter capital after issuance: VND 122,700,580,000</w:t>
      </w:r>
    </w:p>
    <w:p w:rsidR="000D3EF5" w:rsidRPr="000902BF" w:rsidRDefault="00CE4BAA" w:rsidP="000320AC">
      <w:pPr>
        <w:numPr>
          <w:ilvl w:val="0"/>
          <w:numId w:val="2"/>
        </w:numPr>
        <w:pBdr>
          <w:top w:val="nil"/>
          <w:left w:val="nil"/>
          <w:bottom w:val="nil"/>
          <w:right w:val="nil"/>
          <w:between w:val="nil"/>
        </w:pBdr>
        <w:tabs>
          <w:tab w:val="left" w:pos="432"/>
          <w:tab w:val="left" w:pos="569"/>
        </w:tabs>
        <w:spacing w:after="120" w:line="360" w:lineRule="auto"/>
        <w:jc w:val="both"/>
        <w:rPr>
          <w:rFonts w:ascii="Arial" w:eastAsia="Arial" w:hAnsi="Arial" w:cs="Arial"/>
          <w:color w:val="010000"/>
          <w:sz w:val="20"/>
          <w:szCs w:val="20"/>
        </w:rPr>
      </w:pPr>
      <w:r w:rsidRPr="000902BF">
        <w:rPr>
          <w:rFonts w:ascii="Arial" w:hAnsi="Arial" w:cs="Arial"/>
          <w:color w:val="010000"/>
          <w:sz w:val="20"/>
        </w:rPr>
        <w:t>The plan to ensure that the share offering satisfies the foreign ownership rate:</w:t>
      </w:r>
    </w:p>
    <w:p w:rsidR="000D3EF5" w:rsidRPr="000902BF" w:rsidRDefault="00CE4BAA"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The company distributes shares according to the method of exercising the right to buy shares, in case the existing shareholder needs to transfer the right to buy, the right to buy cannot be transferred to foreign investors ('investors').</w:t>
      </w:r>
      <w:r w:rsidR="009C7C0D" w:rsidRPr="000902BF">
        <w:rPr>
          <w:rFonts w:ascii="Arial" w:hAnsi="Arial" w:cs="Arial"/>
          <w:color w:val="010000"/>
          <w:sz w:val="20"/>
        </w:rPr>
        <w:t xml:space="preserve"> </w:t>
      </w:r>
      <w:r w:rsidRPr="000902BF">
        <w:rPr>
          <w:rFonts w:ascii="Arial" w:hAnsi="Arial" w:cs="Arial"/>
          <w:color w:val="010000"/>
          <w:sz w:val="20"/>
        </w:rPr>
        <w:t>The right to buy can only be transferred once (the recipient of the share transfer cannot be transferred to a third person)</w:t>
      </w:r>
    </w:p>
    <w:p w:rsidR="000D3EF5" w:rsidRPr="000902BF" w:rsidRDefault="00CE4BAA"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In case the existing shareholder does not exercise the right to buy, the number of undistributed shares will be offered for sale to other subjects to ensure that the offering of shares meets the foreign ownership rate.</w:t>
      </w:r>
    </w:p>
    <w:p w:rsidR="000D3EF5" w:rsidRPr="000902BF" w:rsidRDefault="00CE4BAA"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The General Meeting of Shareholders authorizes the Board of Directors to approve the plan to ensure that the issuance meets the foreign ownership rate</w:t>
      </w:r>
    </w:p>
    <w:p w:rsidR="000D3EF5" w:rsidRPr="000902BF" w:rsidRDefault="00CE4BAA" w:rsidP="000320AC">
      <w:pPr>
        <w:numPr>
          <w:ilvl w:val="0"/>
          <w:numId w:val="2"/>
        </w:numPr>
        <w:pBdr>
          <w:top w:val="nil"/>
          <w:left w:val="nil"/>
          <w:bottom w:val="nil"/>
          <w:right w:val="nil"/>
          <w:between w:val="nil"/>
        </w:pBdr>
        <w:tabs>
          <w:tab w:val="left" w:pos="432"/>
          <w:tab w:val="left" w:pos="589"/>
        </w:tabs>
        <w:spacing w:after="120" w:line="360" w:lineRule="auto"/>
        <w:jc w:val="both"/>
        <w:rPr>
          <w:rFonts w:ascii="Arial" w:eastAsia="Arial" w:hAnsi="Arial" w:cs="Arial"/>
          <w:color w:val="010000"/>
          <w:sz w:val="20"/>
          <w:szCs w:val="20"/>
        </w:rPr>
      </w:pPr>
      <w:r w:rsidRPr="000902BF">
        <w:rPr>
          <w:rFonts w:ascii="Arial" w:hAnsi="Arial" w:cs="Arial"/>
          <w:color w:val="010000"/>
          <w:sz w:val="20"/>
        </w:rPr>
        <w:t xml:space="preserve">Plan to </w:t>
      </w:r>
      <w:r w:rsidR="000902BF" w:rsidRPr="000902BF">
        <w:rPr>
          <w:rFonts w:ascii="Arial" w:hAnsi="Arial" w:cs="Arial"/>
          <w:color w:val="010000"/>
          <w:sz w:val="20"/>
        </w:rPr>
        <w:t>off</w:t>
      </w:r>
      <w:r w:rsidRPr="000902BF">
        <w:rPr>
          <w:rFonts w:ascii="Arial" w:hAnsi="Arial" w:cs="Arial"/>
          <w:color w:val="010000"/>
          <w:sz w:val="20"/>
        </w:rPr>
        <w:t>set the shortfall in capital expected to be raised from the offering to implement the project in case the offering only reaches the minimum successful offering rate: The company will consider and use individually, sequentially or simultaneously the following solutions:</w:t>
      </w:r>
    </w:p>
    <w:p w:rsidR="000D3EF5" w:rsidRPr="000902BF" w:rsidRDefault="00CE4BAA"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Use of the Company's own capital;</w:t>
      </w:r>
    </w:p>
    <w:p w:rsidR="000D3EF5" w:rsidRPr="000902BF" w:rsidRDefault="00CE4BAA"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Supplement from bank loans;</w:t>
      </w:r>
    </w:p>
    <w:p w:rsidR="000D3EF5" w:rsidRPr="000902BF" w:rsidRDefault="00CE4BAA"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Look for investors to contribute capital to the project;</w:t>
      </w:r>
    </w:p>
    <w:p w:rsidR="000D3EF5" w:rsidRPr="000902BF" w:rsidRDefault="000902BF"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Issue bonds;</w:t>
      </w:r>
    </w:p>
    <w:p w:rsidR="000D3EF5" w:rsidRPr="000902BF" w:rsidRDefault="00CE4BAA" w:rsidP="000320AC">
      <w:pPr>
        <w:numPr>
          <w:ilvl w:val="0"/>
          <w:numId w:val="1"/>
        </w:numPr>
        <w:pBdr>
          <w:top w:val="nil"/>
          <w:left w:val="nil"/>
          <w:bottom w:val="nil"/>
          <w:right w:val="nil"/>
          <w:between w:val="nil"/>
        </w:pBdr>
        <w:tabs>
          <w:tab w:val="left" w:pos="432"/>
          <w:tab w:val="left" w:pos="558"/>
        </w:tabs>
        <w:spacing w:after="120" w:line="360" w:lineRule="auto"/>
        <w:jc w:val="both"/>
        <w:rPr>
          <w:rFonts w:ascii="Arial" w:eastAsia="Arial" w:hAnsi="Arial" w:cs="Arial"/>
          <w:color w:val="010000"/>
          <w:sz w:val="20"/>
          <w:szCs w:val="20"/>
        </w:rPr>
      </w:pPr>
      <w:r w:rsidRPr="000902BF">
        <w:rPr>
          <w:rFonts w:ascii="Arial" w:hAnsi="Arial" w:cs="Arial"/>
          <w:color w:val="010000"/>
          <w:sz w:val="20"/>
        </w:rPr>
        <w:t>Other solutions in accordance with the provisions of law.</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lastRenderedPageBreak/>
        <w:t>‎‎Article 8. Terms of enforcement</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The General Mandate is approved by the Annual General Meeting of Shareholders 2024 of Ego Vietnam Investment Joint Stock Company and takes effect from May 31, 2024.</w:t>
      </w:r>
    </w:p>
    <w:p w:rsidR="000D3EF5" w:rsidRPr="000902BF" w:rsidRDefault="00CE4BAA" w:rsidP="000320A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902BF">
        <w:rPr>
          <w:rFonts w:ascii="Arial" w:hAnsi="Arial" w:cs="Arial"/>
          <w:color w:val="010000"/>
          <w:sz w:val="20"/>
        </w:rPr>
        <w:t>The Board of Directors, the Board of Management, the Supervisory Board and relevant departments/units are responsible for implementing this General Mandate, ensuring the interests of shareholders and the Company, and complying with the provisions of the Law.</w:t>
      </w:r>
    </w:p>
    <w:sectPr w:rsidR="000D3EF5" w:rsidRPr="000902BF" w:rsidSect="0039542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3FCE"/>
    <w:multiLevelType w:val="multilevel"/>
    <w:tmpl w:val="2DA0AD72"/>
    <w:lvl w:ilvl="0">
      <w:start w:val="1"/>
      <w:numFmt w:val="bullet"/>
      <w:lvlText w:val="o"/>
      <w:lvlJc w:val="left"/>
      <w:pPr>
        <w:ind w:left="720" w:hanging="360"/>
      </w:pPr>
      <w:rPr>
        <w:rFonts w:ascii="Courier New" w:eastAsia="Courier New" w:hAnsi="Courier New" w:cs="Courier New"/>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7377C3"/>
    <w:multiLevelType w:val="multilevel"/>
    <w:tmpl w:val="5D90C68A"/>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F062BB"/>
    <w:multiLevelType w:val="multilevel"/>
    <w:tmpl w:val="71B819D2"/>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13EBE"/>
    <w:multiLevelType w:val="multilevel"/>
    <w:tmpl w:val="89889616"/>
    <w:lvl w:ilvl="0">
      <w:start w:val="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B1B40D4"/>
    <w:multiLevelType w:val="multilevel"/>
    <w:tmpl w:val="B26A1192"/>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E04B8C"/>
    <w:multiLevelType w:val="multilevel"/>
    <w:tmpl w:val="0F02FD5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91D135D"/>
    <w:multiLevelType w:val="multilevel"/>
    <w:tmpl w:val="220EFC6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F5"/>
    <w:rsid w:val="000320AC"/>
    <w:rsid w:val="000902BF"/>
    <w:rsid w:val="000D3EF5"/>
    <w:rsid w:val="00395425"/>
    <w:rsid w:val="009C7C0D"/>
    <w:rsid w:val="00A82BE0"/>
    <w:rsid w:val="00BC0BCB"/>
    <w:rsid w:val="00CE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299EA1-19C3-4272-A9C2-F0AAD3DE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9"/>
      <w:szCs w:val="9"/>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E1809F"/>
      <w:sz w:val="20"/>
      <w:szCs w:val="20"/>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strike w:val="0"/>
      <w:color w:val="84679C"/>
      <w:sz w:val="42"/>
      <w:szCs w:val="42"/>
      <w:u w:val="none"/>
      <w:shd w:val="clear" w:color="auto" w:fill="auto"/>
    </w:rPr>
  </w:style>
  <w:style w:type="character" w:customStyle="1" w:styleId="Heading20">
    <w:name w:val="Heading #2_"/>
    <w:basedOn w:val="DefaultParagraphFont"/>
    <w:link w:val="Heading21"/>
    <w:rPr>
      <w:rFonts w:ascii="Arial" w:eastAsia="Arial" w:hAnsi="Arial" w:cs="Arial"/>
      <w:b w:val="0"/>
      <w:bCs w:val="0"/>
      <w:i w:val="0"/>
      <w:iCs w:val="0"/>
      <w:smallCaps w:val="0"/>
      <w:strike w:val="0"/>
      <w:color w:val="E1809F"/>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iCs/>
      <w:smallCaps w:val="0"/>
      <w:strike w:val="0"/>
      <w:u w:val="none"/>
      <w:shd w:val="clear" w:color="auto" w:fill="auto"/>
    </w:rPr>
  </w:style>
  <w:style w:type="paragraph" w:styleId="BodyText">
    <w:name w:val="Body Text"/>
    <w:basedOn w:val="Normal"/>
    <w:link w:val="BodyTextChar"/>
    <w:qFormat/>
    <w:pPr>
      <w:spacing w:line="262" w:lineRule="auto"/>
      <w:ind w:firstLine="200"/>
    </w:pPr>
    <w:rPr>
      <w:rFonts w:ascii="Times New Roman" w:eastAsia="Times New Roman" w:hAnsi="Times New Roman" w:cs="Times New Roman"/>
    </w:rPr>
  </w:style>
  <w:style w:type="paragraph" w:customStyle="1" w:styleId="Bodytext50">
    <w:name w:val="Body text (5)"/>
    <w:basedOn w:val="Normal"/>
    <w:link w:val="Bodytext5"/>
    <w:pPr>
      <w:jc w:val="center"/>
    </w:pPr>
    <w:rPr>
      <w:rFonts w:ascii="Arial" w:eastAsia="Arial" w:hAnsi="Arial" w:cs="Arial"/>
      <w:sz w:val="30"/>
      <w:szCs w:val="30"/>
    </w:rPr>
  </w:style>
  <w:style w:type="paragraph" w:customStyle="1" w:styleId="Bodytext20">
    <w:name w:val="Body text (2)"/>
    <w:basedOn w:val="Normal"/>
    <w:link w:val="Bodytext2"/>
    <w:rPr>
      <w:rFonts w:ascii="Arial" w:eastAsia="Arial" w:hAnsi="Arial" w:cs="Arial"/>
      <w:sz w:val="9"/>
      <w:szCs w:val="9"/>
    </w:rPr>
  </w:style>
  <w:style w:type="paragraph" w:customStyle="1" w:styleId="Heading31">
    <w:name w:val="Heading #3"/>
    <w:basedOn w:val="Normal"/>
    <w:link w:val="Heading30"/>
    <w:pPr>
      <w:outlineLvl w:val="2"/>
    </w:pPr>
    <w:rPr>
      <w:rFonts w:ascii="Times New Roman" w:eastAsia="Times New Roman" w:hAnsi="Times New Roman" w:cs="Times New Roman"/>
      <w:b/>
      <w:bCs/>
      <w:sz w:val="26"/>
      <w:szCs w:val="26"/>
    </w:rPr>
  </w:style>
  <w:style w:type="paragraph" w:customStyle="1" w:styleId="Bodytext30">
    <w:name w:val="Body text (3)"/>
    <w:basedOn w:val="Normal"/>
    <w:link w:val="Bodytext3"/>
    <w:pPr>
      <w:spacing w:line="257" w:lineRule="auto"/>
      <w:jc w:val="center"/>
    </w:pPr>
    <w:rPr>
      <w:rFonts w:ascii="Times New Roman" w:eastAsia="Times New Roman" w:hAnsi="Times New Roman" w:cs="Times New Roman"/>
      <w:b/>
      <w:bCs/>
      <w:sz w:val="28"/>
      <w:szCs w:val="28"/>
    </w:rPr>
  </w:style>
  <w:style w:type="paragraph" w:customStyle="1" w:styleId="Other0">
    <w:name w:val="Other"/>
    <w:basedOn w:val="Normal"/>
    <w:link w:val="Other"/>
    <w:pPr>
      <w:spacing w:line="262" w:lineRule="auto"/>
      <w:ind w:firstLine="200"/>
    </w:pPr>
    <w:rPr>
      <w:rFonts w:ascii="Times New Roman" w:eastAsia="Times New Roman" w:hAnsi="Times New Roman" w:cs="Times New Roman"/>
    </w:rPr>
  </w:style>
  <w:style w:type="paragraph" w:customStyle="1" w:styleId="Bodytext40">
    <w:name w:val="Body text (4)"/>
    <w:basedOn w:val="Normal"/>
    <w:link w:val="Bodytext4"/>
    <w:pPr>
      <w:ind w:left="1020"/>
    </w:pPr>
    <w:rPr>
      <w:rFonts w:ascii="Arial" w:eastAsia="Arial" w:hAnsi="Arial" w:cs="Arial"/>
      <w:color w:val="E1809F"/>
      <w:sz w:val="20"/>
      <w:szCs w:val="20"/>
    </w:rPr>
  </w:style>
  <w:style w:type="paragraph" w:customStyle="1" w:styleId="Heading11">
    <w:name w:val="Heading #1"/>
    <w:basedOn w:val="Normal"/>
    <w:link w:val="Heading10"/>
    <w:pPr>
      <w:spacing w:line="223" w:lineRule="auto"/>
      <w:ind w:left="3260"/>
      <w:outlineLvl w:val="0"/>
    </w:pPr>
    <w:rPr>
      <w:rFonts w:ascii="Arial" w:eastAsia="Arial" w:hAnsi="Arial" w:cs="Arial"/>
      <w:smallCaps/>
      <w:color w:val="84679C"/>
      <w:sz w:val="42"/>
      <w:szCs w:val="42"/>
    </w:rPr>
  </w:style>
  <w:style w:type="paragraph" w:customStyle="1" w:styleId="Heading21">
    <w:name w:val="Heading #2"/>
    <w:basedOn w:val="Normal"/>
    <w:link w:val="Heading20"/>
    <w:pPr>
      <w:spacing w:line="209" w:lineRule="auto"/>
      <w:jc w:val="right"/>
      <w:outlineLvl w:val="1"/>
    </w:pPr>
    <w:rPr>
      <w:rFonts w:ascii="Arial" w:eastAsia="Arial" w:hAnsi="Arial" w:cs="Arial"/>
      <w:color w:val="E1809F"/>
      <w:sz w:val="28"/>
      <w:szCs w:val="28"/>
    </w:rPr>
  </w:style>
  <w:style w:type="paragraph" w:customStyle="1" w:styleId="Tablecaption0">
    <w:name w:val="Table caption"/>
    <w:basedOn w:val="Normal"/>
    <w:link w:val="Tablecaption"/>
    <w:rPr>
      <w:rFonts w:ascii="Times New Roman" w:eastAsia="Times New Roman" w:hAnsi="Times New Roman" w:cs="Times New Roman"/>
      <w:b/>
      <w:bC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1VTZKL3/QNvHZmz5nvcQ2AlmCQ==">CgMxLjAyCGguZ2pkZ3hzOAByITFsTzY1Vjlob3VncEJ5bDlCZGNDTjRMRFpDc1hkSEtQRA==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2024-06-04T03:30:00Z</dcterms:created>
  <dcterms:modified xsi:type="dcterms:W3CDTF">2024-06-06T10:11:00Z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9487fb8ae81b5ad97309a8e303e7e51e2a87a3c00ddacc90a116403542f8ef91</vt:lpwstr>
  </property>
</Properties>
</file>