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782" w:rsidRPr="0081329D" w:rsidRDefault="00467B61" w:rsidP="00E43D64">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bookmarkStart w:id="0" w:name="_GoBack"/>
      <w:bookmarkEnd w:id="0"/>
      <w:r w:rsidRPr="0081329D">
        <w:rPr>
          <w:rFonts w:ascii="Arial" w:hAnsi="Arial" w:cs="Arial"/>
          <w:b/>
          <w:color w:val="010000"/>
          <w:sz w:val="20"/>
        </w:rPr>
        <w:t>NEM</w:t>
      </w:r>
      <w:r w:rsidR="00687DFC" w:rsidRPr="0081329D">
        <w:rPr>
          <w:rFonts w:ascii="Arial" w:hAnsi="Arial" w:cs="Arial"/>
          <w:b/>
          <w:color w:val="010000"/>
          <w:sz w:val="20"/>
        </w:rPr>
        <w:t>:</w:t>
      </w:r>
      <w:r w:rsidRPr="0081329D">
        <w:rPr>
          <w:rFonts w:ascii="Arial" w:hAnsi="Arial" w:cs="Arial"/>
          <w:b/>
          <w:color w:val="010000"/>
          <w:sz w:val="20"/>
        </w:rPr>
        <w:t xml:space="preserve"> Annual General Mandate 2024</w:t>
      </w:r>
    </w:p>
    <w:p w:rsidR="00202782" w:rsidRPr="0081329D" w:rsidRDefault="00467B61" w:rsidP="00E43D6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1329D">
        <w:rPr>
          <w:rFonts w:ascii="Arial" w:hAnsi="Arial" w:cs="Arial"/>
          <w:color w:val="010000"/>
          <w:sz w:val="20"/>
        </w:rPr>
        <w:t>On May 31, 2024, North Electrical Equipment JSC announced General Mandate No. 03/NQ-DHCD as follows:</w:t>
      </w:r>
    </w:p>
    <w:p w:rsidR="00202782" w:rsidRPr="0081329D" w:rsidRDefault="00467B61" w:rsidP="00E43D6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1329D">
        <w:rPr>
          <w:rFonts w:ascii="Arial" w:hAnsi="Arial" w:cs="Arial"/>
          <w:color w:val="010000"/>
          <w:sz w:val="20"/>
        </w:rPr>
        <w:t>‎‎Article 1. Approve Report No. 01/BC-HDQT dated May 9, 2024 of the Company’s Board of Directors on reporting the production and business activities in 2023 and the operating plan in 2024.</w:t>
      </w:r>
    </w:p>
    <w:p w:rsidR="00202782" w:rsidRPr="0081329D" w:rsidRDefault="00467B61" w:rsidP="00E43D6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1329D">
        <w:rPr>
          <w:rFonts w:ascii="Arial" w:hAnsi="Arial" w:cs="Arial"/>
          <w:color w:val="010000"/>
          <w:sz w:val="20"/>
        </w:rPr>
        <w:t>Article 2: Approve Report No. 01/BC-BKS dated May 9, 2024 of the Company's Supervisory Board on the activities of the Supervisory Board in 2023 and the operating plan for 2024.</w:t>
      </w:r>
    </w:p>
    <w:p w:rsidR="00202782" w:rsidRPr="0081329D" w:rsidRDefault="00467B61" w:rsidP="00E43D6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1329D">
        <w:rPr>
          <w:rFonts w:ascii="Arial" w:hAnsi="Arial" w:cs="Arial"/>
          <w:color w:val="010000"/>
          <w:sz w:val="20"/>
        </w:rPr>
        <w:t>Article 3: Approve Report No. 01/BC-TGD dated May 9, 2024 of the Company’s Board of Directors on the results of production and business activities in 2023 and the plan for production and business activities in 2024</w:t>
      </w:r>
    </w:p>
    <w:p w:rsidR="00202782" w:rsidRPr="0081329D" w:rsidRDefault="00467B61" w:rsidP="00E43D6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1329D">
        <w:rPr>
          <w:rFonts w:ascii="Arial" w:hAnsi="Arial" w:cs="Arial"/>
          <w:color w:val="010000"/>
          <w:sz w:val="20"/>
        </w:rPr>
        <w:t>Results of production and business activities in 2023</w:t>
      </w:r>
    </w:p>
    <w:p w:rsidR="00202782" w:rsidRPr="0081329D" w:rsidRDefault="00467B61" w:rsidP="00E43D6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1329D">
        <w:rPr>
          <w:rFonts w:ascii="Arial" w:hAnsi="Arial" w:cs="Arial"/>
          <w:color w:val="010000"/>
          <w:sz w:val="20"/>
        </w:rPr>
        <w:t>Unit:</w:t>
      </w:r>
      <w:r w:rsidR="004C067D" w:rsidRPr="0081329D">
        <w:rPr>
          <w:rFonts w:ascii="Arial" w:hAnsi="Arial" w:cs="Arial"/>
          <w:color w:val="010000"/>
          <w:sz w:val="20"/>
        </w:rPr>
        <w:t xml:space="preserve"> </w:t>
      </w:r>
      <w:r w:rsidRPr="0081329D">
        <w:rPr>
          <w:rFonts w:ascii="Arial" w:hAnsi="Arial" w:cs="Arial"/>
          <w:color w:val="010000"/>
          <w:sz w:val="20"/>
        </w:rPr>
        <w:t>Million VND</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17"/>
        <w:gridCol w:w="2155"/>
        <w:gridCol w:w="2083"/>
        <w:gridCol w:w="2162"/>
      </w:tblGrid>
      <w:tr w:rsidR="00202782" w:rsidRPr="0081329D" w:rsidTr="00E43D64">
        <w:tc>
          <w:tcPr>
            <w:tcW w:w="1451" w:type="pct"/>
            <w:shd w:val="clear" w:color="auto" w:fill="auto"/>
            <w:tcMar>
              <w:top w:w="0" w:type="dxa"/>
              <w:bottom w:w="0" w:type="dxa"/>
            </w:tcMar>
            <w:vAlign w:val="center"/>
          </w:tcPr>
          <w:p w:rsidR="00202782" w:rsidRPr="0081329D" w:rsidRDefault="00467B61" w:rsidP="00E43D6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1329D">
              <w:rPr>
                <w:rFonts w:ascii="Arial" w:hAnsi="Arial" w:cs="Arial"/>
                <w:color w:val="010000"/>
                <w:sz w:val="20"/>
              </w:rPr>
              <w:t>Target</w:t>
            </w:r>
          </w:p>
        </w:tc>
        <w:tc>
          <w:tcPr>
            <w:tcW w:w="1195" w:type="pct"/>
            <w:shd w:val="clear" w:color="auto" w:fill="auto"/>
            <w:tcMar>
              <w:top w:w="0" w:type="dxa"/>
              <w:bottom w:w="0" w:type="dxa"/>
            </w:tcMar>
            <w:vAlign w:val="center"/>
          </w:tcPr>
          <w:p w:rsidR="00202782" w:rsidRPr="0081329D" w:rsidRDefault="00467B61" w:rsidP="00E43D6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1329D">
              <w:rPr>
                <w:rFonts w:ascii="Arial" w:hAnsi="Arial" w:cs="Arial"/>
                <w:color w:val="010000"/>
                <w:sz w:val="20"/>
              </w:rPr>
              <w:t>Plan</w:t>
            </w:r>
            <w:r w:rsidR="00687DFC" w:rsidRPr="0081329D">
              <w:rPr>
                <w:rFonts w:ascii="Arial" w:hAnsi="Arial" w:cs="Arial"/>
                <w:color w:val="010000"/>
                <w:sz w:val="20"/>
              </w:rPr>
              <w:t xml:space="preserve"> 2023</w:t>
            </w:r>
          </w:p>
        </w:tc>
        <w:tc>
          <w:tcPr>
            <w:tcW w:w="1155" w:type="pct"/>
            <w:shd w:val="clear" w:color="auto" w:fill="auto"/>
            <w:tcMar>
              <w:top w:w="0" w:type="dxa"/>
              <w:bottom w:w="0" w:type="dxa"/>
            </w:tcMar>
            <w:vAlign w:val="center"/>
          </w:tcPr>
          <w:p w:rsidR="00202782" w:rsidRPr="0081329D" w:rsidRDefault="00467B61" w:rsidP="00E43D6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1329D">
              <w:rPr>
                <w:rFonts w:ascii="Arial" w:hAnsi="Arial" w:cs="Arial"/>
                <w:color w:val="010000"/>
                <w:sz w:val="20"/>
              </w:rPr>
              <w:t xml:space="preserve">Results </w:t>
            </w:r>
            <w:r w:rsidR="00687DFC" w:rsidRPr="0081329D">
              <w:rPr>
                <w:rFonts w:ascii="Arial" w:hAnsi="Arial" w:cs="Arial"/>
                <w:color w:val="010000"/>
                <w:sz w:val="20"/>
              </w:rPr>
              <w:t>2023</w:t>
            </w:r>
          </w:p>
        </w:tc>
        <w:tc>
          <w:tcPr>
            <w:tcW w:w="1199" w:type="pct"/>
            <w:shd w:val="clear" w:color="auto" w:fill="auto"/>
            <w:tcMar>
              <w:top w:w="0" w:type="dxa"/>
              <w:bottom w:w="0" w:type="dxa"/>
            </w:tcMar>
            <w:vAlign w:val="center"/>
          </w:tcPr>
          <w:p w:rsidR="00202782" w:rsidRPr="0081329D" w:rsidRDefault="00467B61" w:rsidP="00E43D6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1329D">
              <w:rPr>
                <w:rFonts w:ascii="Arial" w:hAnsi="Arial" w:cs="Arial"/>
                <w:color w:val="010000"/>
                <w:sz w:val="20"/>
              </w:rPr>
              <w:t>Results</w:t>
            </w:r>
            <w:r w:rsidR="00687DFC" w:rsidRPr="0081329D">
              <w:rPr>
                <w:rFonts w:ascii="Arial" w:hAnsi="Arial" w:cs="Arial"/>
                <w:color w:val="010000"/>
                <w:sz w:val="20"/>
              </w:rPr>
              <w:t xml:space="preserve"> 2023 </w:t>
            </w:r>
            <w:r w:rsidRPr="0081329D">
              <w:rPr>
                <w:rFonts w:ascii="Arial" w:hAnsi="Arial" w:cs="Arial"/>
                <w:color w:val="010000"/>
                <w:sz w:val="20"/>
              </w:rPr>
              <w:t xml:space="preserve">/Plan </w:t>
            </w:r>
            <w:r w:rsidR="00687DFC" w:rsidRPr="0081329D">
              <w:rPr>
                <w:rFonts w:ascii="Arial" w:hAnsi="Arial" w:cs="Arial"/>
                <w:color w:val="010000"/>
                <w:sz w:val="20"/>
              </w:rPr>
              <w:t xml:space="preserve">2023 </w:t>
            </w:r>
            <w:r w:rsidRPr="0081329D">
              <w:rPr>
                <w:rFonts w:ascii="Arial" w:hAnsi="Arial" w:cs="Arial"/>
                <w:color w:val="010000"/>
                <w:sz w:val="20"/>
              </w:rPr>
              <w:t>(%)</w:t>
            </w:r>
          </w:p>
        </w:tc>
      </w:tr>
      <w:tr w:rsidR="00202782" w:rsidRPr="0081329D" w:rsidTr="00E43D64">
        <w:tc>
          <w:tcPr>
            <w:tcW w:w="1451" w:type="pct"/>
            <w:shd w:val="clear" w:color="auto" w:fill="auto"/>
            <w:tcMar>
              <w:top w:w="0" w:type="dxa"/>
              <w:bottom w:w="0" w:type="dxa"/>
            </w:tcMar>
            <w:vAlign w:val="center"/>
          </w:tcPr>
          <w:p w:rsidR="00202782" w:rsidRPr="0081329D" w:rsidRDefault="00467B61" w:rsidP="00E43D6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1329D">
              <w:rPr>
                <w:rFonts w:ascii="Arial" w:hAnsi="Arial" w:cs="Arial"/>
                <w:color w:val="010000"/>
                <w:sz w:val="20"/>
              </w:rPr>
              <w:t>Total net revenue</w:t>
            </w:r>
          </w:p>
        </w:tc>
        <w:tc>
          <w:tcPr>
            <w:tcW w:w="1195" w:type="pct"/>
            <w:shd w:val="clear" w:color="auto" w:fill="auto"/>
            <w:tcMar>
              <w:top w:w="0" w:type="dxa"/>
              <w:bottom w:w="0" w:type="dxa"/>
            </w:tcMar>
            <w:vAlign w:val="center"/>
          </w:tcPr>
          <w:p w:rsidR="00202782" w:rsidRPr="0081329D" w:rsidRDefault="00467B61" w:rsidP="00E43D6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1329D">
              <w:rPr>
                <w:rFonts w:ascii="Arial" w:hAnsi="Arial" w:cs="Arial"/>
                <w:color w:val="010000"/>
                <w:sz w:val="20"/>
              </w:rPr>
              <w:t>20,300</w:t>
            </w:r>
          </w:p>
        </w:tc>
        <w:tc>
          <w:tcPr>
            <w:tcW w:w="1155" w:type="pct"/>
            <w:shd w:val="clear" w:color="auto" w:fill="auto"/>
            <w:tcMar>
              <w:top w:w="0" w:type="dxa"/>
              <w:bottom w:w="0" w:type="dxa"/>
            </w:tcMar>
            <w:vAlign w:val="center"/>
          </w:tcPr>
          <w:p w:rsidR="00202782" w:rsidRPr="0081329D" w:rsidRDefault="00467B61" w:rsidP="00E43D6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1329D">
              <w:rPr>
                <w:rFonts w:ascii="Arial" w:hAnsi="Arial" w:cs="Arial"/>
                <w:color w:val="010000"/>
                <w:sz w:val="20"/>
              </w:rPr>
              <w:t>39,105</w:t>
            </w:r>
          </w:p>
        </w:tc>
        <w:tc>
          <w:tcPr>
            <w:tcW w:w="1199" w:type="pct"/>
            <w:shd w:val="clear" w:color="auto" w:fill="auto"/>
            <w:tcMar>
              <w:top w:w="0" w:type="dxa"/>
              <w:bottom w:w="0" w:type="dxa"/>
            </w:tcMar>
            <w:vAlign w:val="center"/>
          </w:tcPr>
          <w:p w:rsidR="00202782" w:rsidRPr="0081329D" w:rsidRDefault="00467B61" w:rsidP="00E43D6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1329D">
              <w:rPr>
                <w:rFonts w:ascii="Arial" w:hAnsi="Arial" w:cs="Arial"/>
                <w:color w:val="010000"/>
                <w:sz w:val="20"/>
              </w:rPr>
              <w:t>193%</w:t>
            </w:r>
          </w:p>
        </w:tc>
      </w:tr>
      <w:tr w:rsidR="00202782" w:rsidRPr="0081329D" w:rsidTr="00E43D64">
        <w:tc>
          <w:tcPr>
            <w:tcW w:w="1451" w:type="pct"/>
            <w:shd w:val="clear" w:color="auto" w:fill="auto"/>
            <w:tcMar>
              <w:top w:w="0" w:type="dxa"/>
              <w:bottom w:w="0" w:type="dxa"/>
            </w:tcMar>
            <w:vAlign w:val="center"/>
          </w:tcPr>
          <w:p w:rsidR="00202782" w:rsidRPr="0081329D" w:rsidRDefault="00467B61" w:rsidP="00E43D6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1329D">
              <w:rPr>
                <w:rFonts w:ascii="Arial" w:hAnsi="Arial" w:cs="Arial"/>
                <w:color w:val="010000"/>
                <w:sz w:val="20"/>
              </w:rPr>
              <w:t>Profit before tax</w:t>
            </w:r>
          </w:p>
        </w:tc>
        <w:tc>
          <w:tcPr>
            <w:tcW w:w="1195" w:type="pct"/>
            <w:shd w:val="clear" w:color="auto" w:fill="auto"/>
            <w:tcMar>
              <w:top w:w="0" w:type="dxa"/>
              <w:bottom w:w="0" w:type="dxa"/>
            </w:tcMar>
            <w:vAlign w:val="center"/>
          </w:tcPr>
          <w:p w:rsidR="00202782" w:rsidRPr="0081329D" w:rsidRDefault="00467B61" w:rsidP="00E43D6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1329D">
              <w:rPr>
                <w:rFonts w:ascii="Arial" w:hAnsi="Arial" w:cs="Arial"/>
                <w:color w:val="010000"/>
                <w:sz w:val="20"/>
              </w:rPr>
              <w:t>140</w:t>
            </w:r>
          </w:p>
        </w:tc>
        <w:tc>
          <w:tcPr>
            <w:tcW w:w="1155" w:type="pct"/>
            <w:shd w:val="clear" w:color="auto" w:fill="auto"/>
            <w:tcMar>
              <w:top w:w="0" w:type="dxa"/>
              <w:bottom w:w="0" w:type="dxa"/>
            </w:tcMar>
            <w:vAlign w:val="center"/>
          </w:tcPr>
          <w:p w:rsidR="00202782" w:rsidRPr="0081329D" w:rsidRDefault="00467B61" w:rsidP="00E43D6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1329D">
              <w:rPr>
                <w:rFonts w:ascii="Arial" w:hAnsi="Arial" w:cs="Arial"/>
                <w:color w:val="010000"/>
                <w:sz w:val="20"/>
              </w:rPr>
              <w:t>152</w:t>
            </w:r>
          </w:p>
        </w:tc>
        <w:tc>
          <w:tcPr>
            <w:tcW w:w="1199" w:type="pct"/>
            <w:shd w:val="clear" w:color="auto" w:fill="auto"/>
            <w:tcMar>
              <w:top w:w="0" w:type="dxa"/>
              <w:bottom w:w="0" w:type="dxa"/>
            </w:tcMar>
            <w:vAlign w:val="center"/>
          </w:tcPr>
          <w:p w:rsidR="00202782" w:rsidRPr="0081329D" w:rsidRDefault="00467B61" w:rsidP="00E43D6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1329D">
              <w:rPr>
                <w:rFonts w:ascii="Arial" w:hAnsi="Arial" w:cs="Arial"/>
                <w:color w:val="010000"/>
                <w:sz w:val="20"/>
              </w:rPr>
              <w:t>109%</w:t>
            </w:r>
          </w:p>
        </w:tc>
      </w:tr>
      <w:tr w:rsidR="00202782" w:rsidRPr="0081329D" w:rsidTr="00E43D64">
        <w:tc>
          <w:tcPr>
            <w:tcW w:w="1451" w:type="pct"/>
            <w:shd w:val="clear" w:color="auto" w:fill="auto"/>
            <w:tcMar>
              <w:top w:w="0" w:type="dxa"/>
              <w:bottom w:w="0" w:type="dxa"/>
            </w:tcMar>
            <w:vAlign w:val="center"/>
          </w:tcPr>
          <w:p w:rsidR="00202782" w:rsidRPr="0081329D" w:rsidRDefault="00467B61" w:rsidP="00E43D6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1329D">
              <w:rPr>
                <w:rFonts w:ascii="Arial" w:hAnsi="Arial" w:cs="Arial"/>
                <w:color w:val="010000"/>
                <w:sz w:val="20"/>
              </w:rPr>
              <w:t>Profit after tax</w:t>
            </w:r>
          </w:p>
        </w:tc>
        <w:tc>
          <w:tcPr>
            <w:tcW w:w="1195" w:type="pct"/>
            <w:shd w:val="clear" w:color="auto" w:fill="auto"/>
            <w:tcMar>
              <w:top w:w="0" w:type="dxa"/>
              <w:bottom w:w="0" w:type="dxa"/>
            </w:tcMar>
            <w:vAlign w:val="center"/>
          </w:tcPr>
          <w:p w:rsidR="00202782" w:rsidRPr="0081329D" w:rsidRDefault="00467B61" w:rsidP="00E43D6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1329D">
              <w:rPr>
                <w:rFonts w:ascii="Arial" w:hAnsi="Arial" w:cs="Arial"/>
                <w:color w:val="010000"/>
                <w:sz w:val="20"/>
              </w:rPr>
              <w:t>112</w:t>
            </w:r>
          </w:p>
        </w:tc>
        <w:tc>
          <w:tcPr>
            <w:tcW w:w="1155" w:type="pct"/>
            <w:shd w:val="clear" w:color="auto" w:fill="auto"/>
            <w:tcMar>
              <w:top w:w="0" w:type="dxa"/>
              <w:bottom w:w="0" w:type="dxa"/>
            </w:tcMar>
            <w:vAlign w:val="center"/>
          </w:tcPr>
          <w:p w:rsidR="00202782" w:rsidRPr="0081329D" w:rsidRDefault="00467B61" w:rsidP="00E43D6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1329D">
              <w:rPr>
                <w:rFonts w:ascii="Arial" w:hAnsi="Arial" w:cs="Arial"/>
                <w:color w:val="010000"/>
                <w:sz w:val="20"/>
              </w:rPr>
              <w:t>(95)</w:t>
            </w:r>
          </w:p>
        </w:tc>
        <w:tc>
          <w:tcPr>
            <w:tcW w:w="1199" w:type="pct"/>
            <w:shd w:val="clear" w:color="auto" w:fill="auto"/>
            <w:tcMar>
              <w:top w:w="0" w:type="dxa"/>
              <w:bottom w:w="0" w:type="dxa"/>
            </w:tcMar>
            <w:vAlign w:val="center"/>
          </w:tcPr>
          <w:p w:rsidR="00202782" w:rsidRPr="0081329D" w:rsidRDefault="00467B61" w:rsidP="00E43D6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1329D">
              <w:rPr>
                <w:rFonts w:ascii="Arial" w:hAnsi="Arial" w:cs="Arial"/>
                <w:color w:val="010000"/>
                <w:sz w:val="20"/>
              </w:rPr>
              <w:t>-</w:t>
            </w:r>
          </w:p>
        </w:tc>
      </w:tr>
      <w:tr w:rsidR="00202782" w:rsidRPr="0081329D" w:rsidTr="00E43D64">
        <w:tc>
          <w:tcPr>
            <w:tcW w:w="1451" w:type="pct"/>
            <w:shd w:val="clear" w:color="auto" w:fill="auto"/>
            <w:tcMar>
              <w:top w:w="0" w:type="dxa"/>
              <w:bottom w:w="0" w:type="dxa"/>
            </w:tcMar>
            <w:vAlign w:val="center"/>
          </w:tcPr>
          <w:p w:rsidR="00202782" w:rsidRPr="0081329D" w:rsidRDefault="00467B61" w:rsidP="00E43D6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1329D">
              <w:rPr>
                <w:rFonts w:ascii="Arial" w:hAnsi="Arial" w:cs="Arial"/>
                <w:color w:val="010000"/>
                <w:sz w:val="20"/>
              </w:rPr>
              <w:t>Charter capital</w:t>
            </w:r>
          </w:p>
        </w:tc>
        <w:tc>
          <w:tcPr>
            <w:tcW w:w="1195" w:type="pct"/>
            <w:shd w:val="clear" w:color="auto" w:fill="auto"/>
            <w:tcMar>
              <w:top w:w="0" w:type="dxa"/>
              <w:bottom w:w="0" w:type="dxa"/>
            </w:tcMar>
            <w:vAlign w:val="center"/>
          </w:tcPr>
          <w:p w:rsidR="00202782" w:rsidRPr="0081329D" w:rsidRDefault="00467B61" w:rsidP="00E43D6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1329D">
              <w:rPr>
                <w:rFonts w:ascii="Arial" w:hAnsi="Arial" w:cs="Arial"/>
                <w:color w:val="010000"/>
                <w:sz w:val="20"/>
              </w:rPr>
              <w:t>88,485</w:t>
            </w:r>
          </w:p>
        </w:tc>
        <w:tc>
          <w:tcPr>
            <w:tcW w:w="1155" w:type="pct"/>
            <w:shd w:val="clear" w:color="auto" w:fill="auto"/>
            <w:tcMar>
              <w:top w:w="0" w:type="dxa"/>
              <w:bottom w:w="0" w:type="dxa"/>
            </w:tcMar>
            <w:vAlign w:val="center"/>
          </w:tcPr>
          <w:p w:rsidR="00202782" w:rsidRPr="0081329D" w:rsidRDefault="00467B61" w:rsidP="00E43D64">
            <w:pPr>
              <w:tabs>
                <w:tab w:val="left" w:pos="432"/>
              </w:tabs>
              <w:spacing w:after="120" w:line="360" w:lineRule="auto"/>
              <w:jc w:val="center"/>
              <w:rPr>
                <w:rFonts w:ascii="Arial" w:eastAsia="Arial" w:hAnsi="Arial" w:cs="Arial"/>
                <w:color w:val="010000"/>
                <w:sz w:val="20"/>
                <w:szCs w:val="20"/>
              </w:rPr>
            </w:pPr>
            <w:r w:rsidRPr="0081329D">
              <w:rPr>
                <w:rFonts w:ascii="Arial" w:hAnsi="Arial" w:cs="Arial"/>
                <w:color w:val="010000"/>
                <w:sz w:val="20"/>
              </w:rPr>
              <w:t>88,485</w:t>
            </w:r>
          </w:p>
        </w:tc>
        <w:tc>
          <w:tcPr>
            <w:tcW w:w="1199" w:type="pct"/>
            <w:shd w:val="clear" w:color="auto" w:fill="auto"/>
            <w:tcMar>
              <w:top w:w="0" w:type="dxa"/>
              <w:bottom w:w="0" w:type="dxa"/>
            </w:tcMar>
            <w:vAlign w:val="center"/>
          </w:tcPr>
          <w:p w:rsidR="00202782" w:rsidRPr="0081329D" w:rsidRDefault="00467B61" w:rsidP="00E43D6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1329D">
              <w:rPr>
                <w:rFonts w:ascii="Arial" w:hAnsi="Arial" w:cs="Arial"/>
                <w:color w:val="010000"/>
                <w:sz w:val="20"/>
              </w:rPr>
              <w:t>-</w:t>
            </w:r>
          </w:p>
        </w:tc>
      </w:tr>
    </w:tbl>
    <w:p w:rsidR="00202782" w:rsidRPr="0081329D" w:rsidRDefault="00467B61" w:rsidP="00E43D6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1329D">
        <w:rPr>
          <w:rFonts w:ascii="Arial" w:hAnsi="Arial" w:cs="Arial"/>
          <w:color w:val="010000"/>
          <w:sz w:val="20"/>
        </w:rPr>
        <w:t>Article 4: Approve general issues under the General Me</w:t>
      </w:r>
      <w:r w:rsidR="00902035" w:rsidRPr="0081329D">
        <w:rPr>
          <w:rFonts w:ascii="Arial" w:hAnsi="Arial" w:cs="Arial"/>
          <w:color w:val="010000"/>
          <w:sz w:val="20"/>
        </w:rPr>
        <w:t>eting of Shareholders’ authority</w:t>
      </w:r>
      <w:r w:rsidRPr="0081329D">
        <w:rPr>
          <w:rFonts w:ascii="Arial" w:hAnsi="Arial" w:cs="Arial"/>
          <w:color w:val="010000"/>
          <w:sz w:val="20"/>
        </w:rPr>
        <w:t>. In details:</w:t>
      </w:r>
    </w:p>
    <w:p w:rsidR="00202782" w:rsidRPr="0081329D" w:rsidRDefault="00467B61" w:rsidP="00E43D64">
      <w:pPr>
        <w:numPr>
          <w:ilvl w:val="0"/>
          <w:numId w:val="1"/>
        </w:numPr>
        <w:pBdr>
          <w:top w:val="nil"/>
          <w:left w:val="nil"/>
          <w:bottom w:val="nil"/>
          <w:right w:val="nil"/>
          <w:between w:val="nil"/>
        </w:pBdr>
        <w:tabs>
          <w:tab w:val="left" w:pos="432"/>
          <w:tab w:val="left" w:pos="1011"/>
        </w:tabs>
        <w:spacing w:after="120" w:line="360" w:lineRule="auto"/>
        <w:rPr>
          <w:rFonts w:ascii="Arial" w:eastAsia="Arial" w:hAnsi="Arial" w:cs="Arial"/>
          <w:color w:val="010000"/>
          <w:sz w:val="20"/>
          <w:szCs w:val="20"/>
        </w:rPr>
      </w:pPr>
      <w:r w:rsidRPr="0081329D">
        <w:rPr>
          <w:rFonts w:ascii="Arial" w:hAnsi="Arial" w:cs="Arial"/>
          <w:color w:val="010000"/>
          <w:sz w:val="20"/>
        </w:rPr>
        <w:t>Approve the Company’s Audited Financial Statements 2023</w:t>
      </w:r>
      <w:r w:rsidR="004C067D" w:rsidRPr="0081329D">
        <w:rPr>
          <w:rFonts w:ascii="Arial" w:hAnsi="Arial" w:cs="Arial"/>
          <w:color w:val="010000"/>
          <w:sz w:val="20"/>
        </w:rPr>
        <w:t>.</w:t>
      </w:r>
    </w:p>
    <w:p w:rsidR="00202782" w:rsidRPr="0081329D" w:rsidRDefault="00467B61" w:rsidP="00E43D64">
      <w:pPr>
        <w:numPr>
          <w:ilvl w:val="0"/>
          <w:numId w:val="1"/>
        </w:numPr>
        <w:pBdr>
          <w:top w:val="nil"/>
          <w:left w:val="nil"/>
          <w:bottom w:val="nil"/>
          <w:right w:val="nil"/>
          <w:between w:val="nil"/>
        </w:pBdr>
        <w:tabs>
          <w:tab w:val="left" w:pos="432"/>
          <w:tab w:val="left" w:pos="1044"/>
        </w:tabs>
        <w:spacing w:after="120" w:line="360" w:lineRule="auto"/>
        <w:rPr>
          <w:rFonts w:ascii="Arial" w:eastAsia="Arial" w:hAnsi="Arial" w:cs="Arial"/>
          <w:color w:val="010000"/>
          <w:sz w:val="20"/>
          <w:szCs w:val="20"/>
        </w:rPr>
      </w:pPr>
      <w:r w:rsidRPr="0081329D">
        <w:rPr>
          <w:rFonts w:ascii="Arial" w:hAnsi="Arial" w:cs="Arial"/>
          <w:color w:val="010000"/>
          <w:sz w:val="20"/>
        </w:rPr>
        <w:t>Select an audit company for the Company's Financial Statements 2024</w:t>
      </w:r>
    </w:p>
    <w:p w:rsidR="00202782" w:rsidRPr="0081329D" w:rsidRDefault="00467B61" w:rsidP="00E43D64">
      <w:pPr>
        <w:numPr>
          <w:ilvl w:val="0"/>
          <w:numId w:val="1"/>
        </w:numPr>
        <w:pBdr>
          <w:top w:val="nil"/>
          <w:left w:val="nil"/>
          <w:bottom w:val="nil"/>
          <w:right w:val="nil"/>
          <w:between w:val="nil"/>
        </w:pBdr>
        <w:tabs>
          <w:tab w:val="left" w:pos="432"/>
          <w:tab w:val="left" w:pos="1044"/>
        </w:tabs>
        <w:spacing w:after="120" w:line="360" w:lineRule="auto"/>
        <w:rPr>
          <w:rFonts w:ascii="Arial" w:eastAsia="Arial" w:hAnsi="Arial" w:cs="Arial"/>
          <w:color w:val="010000"/>
          <w:sz w:val="20"/>
          <w:szCs w:val="20"/>
        </w:rPr>
      </w:pPr>
      <w:r w:rsidRPr="0081329D">
        <w:rPr>
          <w:rFonts w:ascii="Arial" w:hAnsi="Arial" w:cs="Arial"/>
          <w:color w:val="010000"/>
          <w:sz w:val="20"/>
        </w:rPr>
        <w:t>Remuneration and operating expenses of members of the Board of Directors and the Supervisory Board in 2024</w:t>
      </w:r>
    </w:p>
    <w:p w:rsidR="00202782" w:rsidRPr="0081329D" w:rsidRDefault="00467B61" w:rsidP="00E43D64">
      <w:pPr>
        <w:numPr>
          <w:ilvl w:val="0"/>
          <w:numId w:val="1"/>
        </w:numPr>
        <w:pBdr>
          <w:top w:val="nil"/>
          <w:left w:val="nil"/>
          <w:bottom w:val="nil"/>
          <w:right w:val="nil"/>
          <w:between w:val="nil"/>
        </w:pBdr>
        <w:tabs>
          <w:tab w:val="left" w:pos="432"/>
          <w:tab w:val="left" w:pos="1044"/>
        </w:tabs>
        <w:spacing w:after="120" w:line="360" w:lineRule="auto"/>
        <w:rPr>
          <w:rFonts w:ascii="Arial" w:eastAsia="Arial" w:hAnsi="Arial" w:cs="Arial"/>
          <w:color w:val="010000"/>
          <w:sz w:val="20"/>
          <w:szCs w:val="20"/>
        </w:rPr>
      </w:pPr>
      <w:r w:rsidRPr="0081329D">
        <w:rPr>
          <w:rFonts w:ascii="Arial" w:hAnsi="Arial" w:cs="Arial"/>
          <w:color w:val="010000"/>
          <w:sz w:val="20"/>
        </w:rPr>
        <w:t>Production and business plan for 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14"/>
        <w:gridCol w:w="4525"/>
        <w:gridCol w:w="1335"/>
        <w:gridCol w:w="1843"/>
      </w:tblGrid>
      <w:tr w:rsidR="00691474" w:rsidRPr="0081329D" w:rsidTr="00697040">
        <w:tc>
          <w:tcPr>
            <w:tcW w:w="729" w:type="pct"/>
            <w:shd w:val="clear" w:color="auto" w:fill="auto"/>
            <w:vAlign w:val="center"/>
          </w:tcPr>
          <w:p w:rsidR="00691474" w:rsidRPr="0081329D" w:rsidRDefault="00691474" w:rsidP="00697040">
            <w:pPr>
              <w:spacing w:after="120" w:line="360" w:lineRule="auto"/>
              <w:rPr>
                <w:rFonts w:ascii="Arial" w:eastAsia="Times New Roman" w:hAnsi="Arial" w:cs="Arial"/>
                <w:color w:val="010000"/>
                <w:sz w:val="20"/>
              </w:rPr>
            </w:pPr>
            <w:r w:rsidRPr="0081329D">
              <w:rPr>
                <w:rFonts w:ascii="Arial" w:eastAsia="Times New Roman" w:hAnsi="Arial" w:cs="Arial"/>
                <w:color w:val="010000"/>
                <w:sz w:val="20"/>
                <w:lang w:eastAsia="vi-VN"/>
              </w:rPr>
              <w:t>No.</w:t>
            </w:r>
          </w:p>
        </w:tc>
        <w:tc>
          <w:tcPr>
            <w:tcW w:w="2509" w:type="pct"/>
            <w:shd w:val="clear" w:color="auto" w:fill="auto"/>
            <w:vAlign w:val="center"/>
          </w:tcPr>
          <w:p w:rsidR="00691474" w:rsidRPr="0081329D" w:rsidRDefault="00691474" w:rsidP="00697040">
            <w:pPr>
              <w:spacing w:after="120" w:line="360" w:lineRule="auto"/>
              <w:rPr>
                <w:rFonts w:ascii="Arial" w:eastAsia="Times New Roman" w:hAnsi="Arial" w:cs="Arial"/>
                <w:color w:val="010000"/>
                <w:sz w:val="20"/>
              </w:rPr>
            </w:pPr>
            <w:r w:rsidRPr="0081329D">
              <w:rPr>
                <w:rFonts w:ascii="Arial" w:eastAsia="Times New Roman" w:hAnsi="Arial" w:cs="Arial"/>
                <w:color w:val="010000"/>
                <w:sz w:val="20"/>
                <w:lang w:eastAsia="vi-VN"/>
              </w:rPr>
              <w:t>Items</w:t>
            </w:r>
          </w:p>
        </w:tc>
        <w:tc>
          <w:tcPr>
            <w:tcW w:w="740" w:type="pct"/>
            <w:shd w:val="clear" w:color="auto" w:fill="auto"/>
            <w:vAlign w:val="center"/>
          </w:tcPr>
          <w:p w:rsidR="00691474" w:rsidRPr="0081329D" w:rsidRDefault="00691474" w:rsidP="00697040">
            <w:pPr>
              <w:spacing w:after="120" w:line="360" w:lineRule="auto"/>
              <w:rPr>
                <w:rFonts w:ascii="Arial" w:eastAsia="Times New Roman" w:hAnsi="Arial" w:cs="Arial"/>
                <w:color w:val="010000"/>
                <w:sz w:val="20"/>
              </w:rPr>
            </w:pPr>
            <w:r w:rsidRPr="0081329D">
              <w:rPr>
                <w:rFonts w:ascii="Arial" w:eastAsia="Times New Roman" w:hAnsi="Arial" w:cs="Arial"/>
                <w:color w:val="010000"/>
                <w:sz w:val="20"/>
                <w:lang w:eastAsia="vi-VN"/>
              </w:rPr>
              <w:t>Unit</w:t>
            </w:r>
          </w:p>
        </w:tc>
        <w:tc>
          <w:tcPr>
            <w:tcW w:w="1022" w:type="pct"/>
            <w:shd w:val="clear" w:color="auto" w:fill="auto"/>
            <w:vAlign w:val="center"/>
          </w:tcPr>
          <w:p w:rsidR="00691474" w:rsidRPr="0081329D" w:rsidRDefault="00691474" w:rsidP="00697040">
            <w:pPr>
              <w:spacing w:after="120" w:line="360" w:lineRule="auto"/>
              <w:rPr>
                <w:rFonts w:ascii="Arial" w:eastAsia="Times New Roman" w:hAnsi="Arial" w:cs="Arial"/>
                <w:color w:val="010000"/>
                <w:sz w:val="20"/>
              </w:rPr>
            </w:pPr>
            <w:r w:rsidRPr="0081329D">
              <w:rPr>
                <w:rFonts w:ascii="Arial" w:eastAsia="Times New Roman" w:hAnsi="Arial" w:cs="Arial"/>
                <w:color w:val="010000"/>
                <w:sz w:val="20"/>
                <w:lang w:eastAsia="vi-VN"/>
              </w:rPr>
              <w:t>Amount</w:t>
            </w:r>
          </w:p>
        </w:tc>
      </w:tr>
      <w:tr w:rsidR="00691474" w:rsidRPr="0081329D" w:rsidTr="00697040">
        <w:tc>
          <w:tcPr>
            <w:tcW w:w="729" w:type="pct"/>
            <w:shd w:val="clear" w:color="auto" w:fill="auto"/>
            <w:vAlign w:val="center"/>
          </w:tcPr>
          <w:p w:rsidR="00691474" w:rsidRPr="0081329D" w:rsidRDefault="00691474" w:rsidP="00697040">
            <w:pPr>
              <w:spacing w:after="120" w:line="360" w:lineRule="auto"/>
              <w:rPr>
                <w:rFonts w:ascii="Arial" w:eastAsia="Times New Roman" w:hAnsi="Arial" w:cs="Arial"/>
                <w:color w:val="010000"/>
                <w:sz w:val="20"/>
              </w:rPr>
            </w:pPr>
            <w:r w:rsidRPr="0081329D">
              <w:rPr>
                <w:rFonts w:ascii="Arial" w:eastAsia="Times New Roman" w:hAnsi="Arial" w:cs="Arial"/>
                <w:color w:val="010000"/>
                <w:sz w:val="20"/>
                <w:lang w:eastAsia="vi-VN"/>
              </w:rPr>
              <w:t>1</w:t>
            </w:r>
          </w:p>
        </w:tc>
        <w:tc>
          <w:tcPr>
            <w:tcW w:w="2509" w:type="pct"/>
            <w:shd w:val="clear" w:color="auto" w:fill="auto"/>
            <w:vAlign w:val="center"/>
          </w:tcPr>
          <w:p w:rsidR="00691474" w:rsidRPr="0081329D" w:rsidRDefault="00691474" w:rsidP="00697040">
            <w:pPr>
              <w:spacing w:after="120" w:line="360" w:lineRule="auto"/>
              <w:rPr>
                <w:rFonts w:ascii="Arial" w:eastAsia="Times New Roman" w:hAnsi="Arial" w:cs="Arial"/>
                <w:color w:val="010000"/>
                <w:sz w:val="20"/>
                <w:lang w:val="vi-VN"/>
              </w:rPr>
            </w:pPr>
            <w:r w:rsidRPr="0081329D">
              <w:rPr>
                <w:rFonts w:ascii="Arial" w:eastAsia="Times New Roman" w:hAnsi="Arial" w:cs="Arial"/>
                <w:color w:val="010000"/>
                <w:sz w:val="20"/>
                <w:lang w:val="vi-VN" w:eastAsia="vi-VN"/>
              </w:rPr>
              <w:t xml:space="preserve">Net revenue from </w:t>
            </w:r>
            <w:r w:rsidRPr="0081329D">
              <w:rPr>
                <w:rFonts w:ascii="Arial" w:eastAsia="Times New Roman" w:hAnsi="Arial" w:cs="Arial"/>
                <w:color w:val="010000"/>
                <w:sz w:val="20"/>
                <w:lang w:eastAsia="vi-VN"/>
              </w:rPr>
              <w:t xml:space="preserve">goods </w:t>
            </w:r>
            <w:r w:rsidRPr="0081329D">
              <w:rPr>
                <w:rFonts w:ascii="Arial" w:eastAsia="Times New Roman" w:hAnsi="Arial" w:cs="Arial"/>
                <w:color w:val="010000"/>
                <w:sz w:val="20"/>
                <w:lang w:val="vi-VN" w:eastAsia="vi-VN"/>
              </w:rPr>
              <w:t>sales and service</w:t>
            </w:r>
            <w:r w:rsidRPr="0081329D">
              <w:rPr>
                <w:rFonts w:ascii="Arial" w:eastAsia="Times New Roman" w:hAnsi="Arial" w:cs="Arial"/>
                <w:color w:val="010000"/>
                <w:sz w:val="20"/>
                <w:lang w:eastAsia="vi-VN"/>
              </w:rPr>
              <w:t xml:space="preserve"> </w:t>
            </w:r>
            <w:r w:rsidRPr="0081329D">
              <w:rPr>
                <w:rFonts w:ascii="Arial" w:eastAsia="Times New Roman" w:hAnsi="Arial" w:cs="Arial"/>
                <w:color w:val="010000"/>
                <w:sz w:val="20"/>
                <w:lang w:val="vi-VN" w:eastAsia="vi-VN"/>
              </w:rPr>
              <w:t xml:space="preserve">provision </w:t>
            </w:r>
          </w:p>
        </w:tc>
        <w:tc>
          <w:tcPr>
            <w:tcW w:w="740" w:type="pct"/>
            <w:shd w:val="clear" w:color="auto" w:fill="auto"/>
            <w:vAlign w:val="center"/>
          </w:tcPr>
          <w:p w:rsidR="00691474" w:rsidRPr="0081329D" w:rsidRDefault="00691474" w:rsidP="00697040">
            <w:pPr>
              <w:spacing w:after="120" w:line="360" w:lineRule="auto"/>
              <w:rPr>
                <w:rFonts w:ascii="Arial" w:eastAsia="Times New Roman" w:hAnsi="Arial" w:cs="Arial"/>
                <w:color w:val="010000"/>
                <w:sz w:val="20"/>
              </w:rPr>
            </w:pPr>
            <w:r w:rsidRPr="0081329D">
              <w:rPr>
                <w:rFonts w:ascii="Arial" w:eastAsia="Times New Roman" w:hAnsi="Arial" w:cs="Arial"/>
                <w:color w:val="010000"/>
                <w:sz w:val="20"/>
                <w:lang w:eastAsia="vi-VN"/>
              </w:rPr>
              <w:t>Million VND</w:t>
            </w:r>
          </w:p>
        </w:tc>
        <w:tc>
          <w:tcPr>
            <w:tcW w:w="1022" w:type="pct"/>
            <w:shd w:val="clear" w:color="auto" w:fill="auto"/>
            <w:vAlign w:val="center"/>
          </w:tcPr>
          <w:p w:rsidR="00691474" w:rsidRPr="0081329D" w:rsidRDefault="00691474" w:rsidP="00697040">
            <w:pPr>
              <w:spacing w:after="120" w:line="360" w:lineRule="auto"/>
              <w:rPr>
                <w:rFonts w:ascii="Arial" w:eastAsia="Times New Roman" w:hAnsi="Arial" w:cs="Arial"/>
                <w:color w:val="010000"/>
                <w:sz w:val="20"/>
                <w:lang w:val="vi-VN"/>
              </w:rPr>
            </w:pPr>
            <w:r w:rsidRPr="0081329D">
              <w:rPr>
                <w:rFonts w:ascii="Arial" w:eastAsia="Times New Roman" w:hAnsi="Arial" w:cs="Arial"/>
                <w:color w:val="010000"/>
                <w:sz w:val="20"/>
                <w:lang w:val="vi-VN" w:eastAsia="vi-VN"/>
              </w:rPr>
              <w:t>18,500</w:t>
            </w:r>
          </w:p>
        </w:tc>
      </w:tr>
      <w:tr w:rsidR="00691474" w:rsidRPr="0081329D" w:rsidTr="00697040">
        <w:tc>
          <w:tcPr>
            <w:tcW w:w="729" w:type="pct"/>
            <w:shd w:val="clear" w:color="auto" w:fill="auto"/>
            <w:vAlign w:val="center"/>
          </w:tcPr>
          <w:p w:rsidR="00691474" w:rsidRPr="0081329D" w:rsidRDefault="00691474" w:rsidP="00697040">
            <w:pPr>
              <w:spacing w:after="120" w:line="360" w:lineRule="auto"/>
              <w:rPr>
                <w:rFonts w:ascii="Arial" w:eastAsia="Times New Roman" w:hAnsi="Arial" w:cs="Arial"/>
                <w:color w:val="010000"/>
                <w:sz w:val="20"/>
                <w:lang w:val="vi-VN"/>
              </w:rPr>
            </w:pPr>
            <w:r w:rsidRPr="0081329D">
              <w:rPr>
                <w:rFonts w:ascii="Arial" w:eastAsia="Times New Roman" w:hAnsi="Arial" w:cs="Arial"/>
                <w:color w:val="010000"/>
                <w:sz w:val="20"/>
                <w:lang w:val="vi-VN" w:eastAsia="vi-VN"/>
              </w:rPr>
              <w:t>2</w:t>
            </w:r>
          </w:p>
        </w:tc>
        <w:tc>
          <w:tcPr>
            <w:tcW w:w="2509" w:type="pct"/>
            <w:shd w:val="clear" w:color="auto" w:fill="auto"/>
            <w:vAlign w:val="center"/>
          </w:tcPr>
          <w:p w:rsidR="00691474" w:rsidRPr="0081329D" w:rsidRDefault="00691474" w:rsidP="00697040">
            <w:pPr>
              <w:spacing w:after="120" w:line="360" w:lineRule="auto"/>
              <w:rPr>
                <w:rFonts w:ascii="Arial" w:eastAsia="Times New Roman" w:hAnsi="Arial" w:cs="Arial"/>
                <w:color w:val="010000"/>
                <w:sz w:val="20"/>
                <w:lang w:val="vi-VN"/>
              </w:rPr>
            </w:pPr>
            <w:r w:rsidRPr="0081329D">
              <w:rPr>
                <w:rFonts w:ascii="Arial" w:eastAsia="Times New Roman" w:hAnsi="Arial" w:cs="Arial"/>
                <w:color w:val="010000"/>
                <w:sz w:val="20"/>
                <w:lang w:val="vi-VN" w:eastAsia="vi-VN"/>
              </w:rPr>
              <w:t>Cost of goods sold</w:t>
            </w:r>
          </w:p>
        </w:tc>
        <w:tc>
          <w:tcPr>
            <w:tcW w:w="740" w:type="pct"/>
            <w:shd w:val="clear" w:color="auto" w:fill="auto"/>
            <w:vAlign w:val="center"/>
          </w:tcPr>
          <w:p w:rsidR="00691474" w:rsidRPr="0081329D" w:rsidRDefault="00691474" w:rsidP="00697040">
            <w:pPr>
              <w:spacing w:after="120" w:line="360" w:lineRule="auto"/>
              <w:rPr>
                <w:rFonts w:ascii="Arial" w:eastAsia="Times New Roman" w:hAnsi="Arial" w:cs="Arial"/>
                <w:color w:val="010000"/>
                <w:sz w:val="20"/>
              </w:rPr>
            </w:pPr>
            <w:r w:rsidRPr="0081329D">
              <w:rPr>
                <w:rFonts w:ascii="Arial" w:eastAsia="Times New Roman" w:hAnsi="Arial" w:cs="Arial"/>
                <w:color w:val="010000"/>
                <w:sz w:val="20"/>
                <w:lang w:eastAsia="vi-VN"/>
              </w:rPr>
              <w:t>Million VND</w:t>
            </w:r>
          </w:p>
        </w:tc>
        <w:tc>
          <w:tcPr>
            <w:tcW w:w="1022" w:type="pct"/>
            <w:shd w:val="clear" w:color="auto" w:fill="auto"/>
            <w:vAlign w:val="center"/>
          </w:tcPr>
          <w:p w:rsidR="00691474" w:rsidRPr="0081329D" w:rsidRDefault="00691474" w:rsidP="00697040">
            <w:pPr>
              <w:spacing w:after="120" w:line="360" w:lineRule="auto"/>
              <w:rPr>
                <w:rFonts w:ascii="Arial" w:eastAsia="Times New Roman" w:hAnsi="Arial" w:cs="Arial"/>
                <w:color w:val="010000"/>
                <w:sz w:val="20"/>
                <w:lang w:val="vi-VN"/>
              </w:rPr>
            </w:pPr>
            <w:r w:rsidRPr="0081329D">
              <w:rPr>
                <w:rFonts w:ascii="Arial" w:eastAsia="Times New Roman" w:hAnsi="Arial" w:cs="Arial"/>
                <w:color w:val="010000"/>
                <w:sz w:val="20"/>
                <w:lang w:val="vi-VN" w:eastAsia="vi-VN"/>
              </w:rPr>
              <w:t>15,165</w:t>
            </w:r>
          </w:p>
        </w:tc>
      </w:tr>
      <w:tr w:rsidR="00691474" w:rsidRPr="0081329D" w:rsidTr="00697040">
        <w:tc>
          <w:tcPr>
            <w:tcW w:w="729" w:type="pct"/>
            <w:shd w:val="clear" w:color="auto" w:fill="auto"/>
            <w:vAlign w:val="center"/>
          </w:tcPr>
          <w:p w:rsidR="00691474" w:rsidRPr="0081329D" w:rsidRDefault="00691474" w:rsidP="00697040">
            <w:pPr>
              <w:spacing w:after="120" w:line="360" w:lineRule="auto"/>
              <w:rPr>
                <w:rFonts w:ascii="Arial" w:eastAsia="Times New Roman" w:hAnsi="Arial" w:cs="Arial"/>
                <w:color w:val="010000"/>
                <w:sz w:val="20"/>
                <w:lang w:val="vi-VN"/>
              </w:rPr>
            </w:pPr>
            <w:r w:rsidRPr="0081329D">
              <w:rPr>
                <w:rFonts w:ascii="Arial" w:eastAsia="Times New Roman" w:hAnsi="Arial" w:cs="Arial"/>
                <w:color w:val="010000"/>
                <w:sz w:val="20"/>
                <w:lang w:val="vi-VN" w:eastAsia="vi-VN"/>
              </w:rPr>
              <w:t>3</w:t>
            </w:r>
          </w:p>
        </w:tc>
        <w:tc>
          <w:tcPr>
            <w:tcW w:w="2509" w:type="pct"/>
            <w:shd w:val="clear" w:color="auto" w:fill="auto"/>
            <w:vAlign w:val="center"/>
          </w:tcPr>
          <w:p w:rsidR="00691474" w:rsidRPr="0081329D" w:rsidRDefault="00691474" w:rsidP="00697040">
            <w:pPr>
              <w:spacing w:after="120" w:line="360" w:lineRule="auto"/>
              <w:rPr>
                <w:rFonts w:ascii="Arial" w:eastAsia="Times New Roman" w:hAnsi="Arial" w:cs="Arial"/>
                <w:color w:val="010000"/>
                <w:sz w:val="20"/>
              </w:rPr>
            </w:pPr>
            <w:r w:rsidRPr="0081329D">
              <w:rPr>
                <w:rFonts w:ascii="Arial" w:eastAsia="Times New Roman" w:hAnsi="Arial" w:cs="Arial"/>
                <w:color w:val="010000"/>
                <w:sz w:val="20"/>
                <w:lang w:val="vi-VN" w:eastAsia="vi-VN"/>
              </w:rPr>
              <w:t>General and administrative expense</w:t>
            </w:r>
          </w:p>
        </w:tc>
        <w:tc>
          <w:tcPr>
            <w:tcW w:w="740" w:type="pct"/>
            <w:shd w:val="clear" w:color="auto" w:fill="auto"/>
            <w:vAlign w:val="center"/>
          </w:tcPr>
          <w:p w:rsidR="00691474" w:rsidRPr="0081329D" w:rsidRDefault="00691474" w:rsidP="00697040">
            <w:pPr>
              <w:spacing w:after="120" w:line="360" w:lineRule="auto"/>
              <w:rPr>
                <w:rFonts w:ascii="Arial" w:eastAsia="Times New Roman" w:hAnsi="Arial" w:cs="Arial"/>
                <w:color w:val="010000"/>
                <w:sz w:val="20"/>
              </w:rPr>
            </w:pPr>
            <w:r w:rsidRPr="0081329D">
              <w:rPr>
                <w:rFonts w:ascii="Arial" w:eastAsia="Times New Roman" w:hAnsi="Arial" w:cs="Arial"/>
                <w:color w:val="010000"/>
                <w:sz w:val="20"/>
                <w:lang w:eastAsia="vi-VN"/>
              </w:rPr>
              <w:t>Million VND</w:t>
            </w:r>
          </w:p>
        </w:tc>
        <w:tc>
          <w:tcPr>
            <w:tcW w:w="1022" w:type="pct"/>
            <w:shd w:val="clear" w:color="auto" w:fill="auto"/>
            <w:vAlign w:val="center"/>
          </w:tcPr>
          <w:p w:rsidR="00691474" w:rsidRPr="0081329D" w:rsidRDefault="00691474" w:rsidP="00697040">
            <w:pPr>
              <w:spacing w:after="120" w:line="360" w:lineRule="auto"/>
              <w:rPr>
                <w:rFonts w:ascii="Arial" w:eastAsia="Times New Roman" w:hAnsi="Arial" w:cs="Arial"/>
                <w:color w:val="010000"/>
                <w:sz w:val="20"/>
                <w:lang w:val="vi-VN"/>
              </w:rPr>
            </w:pPr>
            <w:r w:rsidRPr="0081329D">
              <w:rPr>
                <w:rFonts w:ascii="Arial" w:eastAsia="Times New Roman" w:hAnsi="Arial" w:cs="Arial"/>
                <w:color w:val="010000"/>
                <w:sz w:val="20"/>
                <w:lang w:val="vi-VN" w:eastAsia="vi-VN"/>
              </w:rPr>
              <w:t>5,000</w:t>
            </w:r>
          </w:p>
        </w:tc>
      </w:tr>
      <w:tr w:rsidR="00691474" w:rsidRPr="0081329D" w:rsidTr="00697040">
        <w:tc>
          <w:tcPr>
            <w:tcW w:w="729" w:type="pct"/>
            <w:shd w:val="clear" w:color="auto" w:fill="auto"/>
            <w:vAlign w:val="center"/>
          </w:tcPr>
          <w:p w:rsidR="00691474" w:rsidRPr="0081329D" w:rsidRDefault="00691474" w:rsidP="00697040">
            <w:pPr>
              <w:spacing w:after="120" w:line="360" w:lineRule="auto"/>
              <w:rPr>
                <w:rFonts w:ascii="Arial" w:eastAsia="Times New Roman" w:hAnsi="Arial" w:cs="Arial"/>
                <w:color w:val="010000"/>
                <w:sz w:val="20"/>
                <w:lang w:val="vi-VN"/>
              </w:rPr>
            </w:pPr>
            <w:r w:rsidRPr="0081329D">
              <w:rPr>
                <w:rFonts w:ascii="Arial" w:eastAsia="Times New Roman" w:hAnsi="Arial" w:cs="Arial"/>
                <w:color w:val="010000"/>
                <w:sz w:val="20"/>
                <w:lang w:val="vi-VN" w:eastAsia="vi-VN"/>
              </w:rPr>
              <w:t>4</w:t>
            </w:r>
          </w:p>
        </w:tc>
        <w:tc>
          <w:tcPr>
            <w:tcW w:w="2509" w:type="pct"/>
            <w:shd w:val="clear" w:color="auto" w:fill="auto"/>
            <w:vAlign w:val="center"/>
          </w:tcPr>
          <w:p w:rsidR="00691474" w:rsidRPr="0081329D" w:rsidRDefault="00691474" w:rsidP="00697040">
            <w:pPr>
              <w:spacing w:after="120" w:line="360" w:lineRule="auto"/>
              <w:rPr>
                <w:rFonts w:ascii="Arial" w:eastAsia="Times New Roman" w:hAnsi="Arial" w:cs="Arial"/>
                <w:color w:val="010000"/>
                <w:sz w:val="20"/>
                <w:lang w:val="vi-VN"/>
              </w:rPr>
            </w:pPr>
            <w:r w:rsidRPr="0081329D">
              <w:rPr>
                <w:rFonts w:ascii="Arial" w:eastAsia="Times New Roman" w:hAnsi="Arial" w:cs="Arial"/>
                <w:color w:val="010000"/>
                <w:sz w:val="20"/>
                <w:lang w:val="vi-VN" w:eastAsia="vi-VN"/>
              </w:rPr>
              <w:t>Profit before tax</w:t>
            </w:r>
          </w:p>
        </w:tc>
        <w:tc>
          <w:tcPr>
            <w:tcW w:w="740" w:type="pct"/>
            <w:shd w:val="clear" w:color="auto" w:fill="auto"/>
            <w:vAlign w:val="center"/>
          </w:tcPr>
          <w:p w:rsidR="00691474" w:rsidRPr="0081329D" w:rsidRDefault="00691474" w:rsidP="00697040">
            <w:pPr>
              <w:spacing w:after="120" w:line="360" w:lineRule="auto"/>
              <w:rPr>
                <w:rFonts w:ascii="Arial" w:eastAsia="Times New Roman" w:hAnsi="Arial" w:cs="Arial"/>
                <w:color w:val="010000"/>
                <w:sz w:val="20"/>
              </w:rPr>
            </w:pPr>
            <w:r w:rsidRPr="0081329D">
              <w:rPr>
                <w:rFonts w:ascii="Arial" w:eastAsia="Times New Roman" w:hAnsi="Arial" w:cs="Arial"/>
                <w:color w:val="010000"/>
                <w:sz w:val="20"/>
                <w:lang w:eastAsia="vi-VN"/>
              </w:rPr>
              <w:t>Million VND</w:t>
            </w:r>
          </w:p>
        </w:tc>
        <w:tc>
          <w:tcPr>
            <w:tcW w:w="1022" w:type="pct"/>
            <w:shd w:val="clear" w:color="auto" w:fill="auto"/>
            <w:vAlign w:val="center"/>
          </w:tcPr>
          <w:p w:rsidR="00691474" w:rsidRPr="0081329D" w:rsidRDefault="00691474" w:rsidP="00697040">
            <w:pPr>
              <w:spacing w:after="120" w:line="360" w:lineRule="auto"/>
              <w:rPr>
                <w:rFonts w:ascii="Arial" w:eastAsia="Times New Roman" w:hAnsi="Arial" w:cs="Arial"/>
                <w:color w:val="010000"/>
                <w:sz w:val="20"/>
                <w:lang w:val="vi-VN"/>
              </w:rPr>
            </w:pPr>
            <w:r w:rsidRPr="0081329D">
              <w:rPr>
                <w:rFonts w:ascii="Arial" w:eastAsia="Times New Roman" w:hAnsi="Arial" w:cs="Arial"/>
                <w:color w:val="010000"/>
                <w:sz w:val="20"/>
                <w:lang w:val="vi-VN" w:eastAsia="vi-VN"/>
              </w:rPr>
              <w:t>135</w:t>
            </w:r>
          </w:p>
        </w:tc>
      </w:tr>
      <w:tr w:rsidR="00691474" w:rsidRPr="0081329D" w:rsidTr="00697040">
        <w:tc>
          <w:tcPr>
            <w:tcW w:w="729" w:type="pct"/>
            <w:shd w:val="clear" w:color="auto" w:fill="auto"/>
            <w:vAlign w:val="center"/>
          </w:tcPr>
          <w:p w:rsidR="00691474" w:rsidRPr="0081329D" w:rsidRDefault="00691474" w:rsidP="00697040">
            <w:pPr>
              <w:spacing w:after="120" w:line="360" w:lineRule="auto"/>
              <w:rPr>
                <w:rFonts w:ascii="Arial" w:eastAsia="Times New Roman" w:hAnsi="Arial" w:cs="Arial"/>
                <w:color w:val="010000"/>
                <w:sz w:val="20"/>
                <w:lang w:val="vi-VN"/>
              </w:rPr>
            </w:pPr>
            <w:r w:rsidRPr="0081329D">
              <w:rPr>
                <w:rFonts w:ascii="Arial" w:eastAsia="Times New Roman" w:hAnsi="Arial" w:cs="Arial"/>
                <w:color w:val="010000"/>
                <w:sz w:val="20"/>
                <w:lang w:val="vi-VN" w:eastAsia="vi-VN"/>
              </w:rPr>
              <w:t>5</w:t>
            </w:r>
          </w:p>
        </w:tc>
        <w:tc>
          <w:tcPr>
            <w:tcW w:w="2509" w:type="pct"/>
            <w:shd w:val="clear" w:color="auto" w:fill="auto"/>
            <w:vAlign w:val="center"/>
          </w:tcPr>
          <w:p w:rsidR="00691474" w:rsidRPr="0081329D" w:rsidRDefault="00691474" w:rsidP="00697040">
            <w:pPr>
              <w:spacing w:after="120" w:line="360" w:lineRule="auto"/>
              <w:rPr>
                <w:rFonts w:ascii="Arial" w:eastAsia="Times New Roman" w:hAnsi="Arial" w:cs="Arial"/>
                <w:color w:val="010000"/>
                <w:sz w:val="20"/>
                <w:lang w:val="vi-VN"/>
              </w:rPr>
            </w:pPr>
            <w:r w:rsidRPr="0081329D">
              <w:rPr>
                <w:rFonts w:ascii="Arial" w:eastAsia="Times New Roman" w:hAnsi="Arial" w:cs="Arial"/>
                <w:color w:val="010000"/>
                <w:sz w:val="20"/>
                <w:lang w:val="vi-VN" w:eastAsia="vi-VN"/>
              </w:rPr>
              <w:t>Dividend payment (%</w:t>
            </w:r>
            <w:r w:rsidRPr="0081329D">
              <w:rPr>
                <w:rFonts w:ascii="Arial" w:eastAsia="Times New Roman" w:hAnsi="Arial" w:cs="Arial"/>
                <w:color w:val="010000"/>
                <w:sz w:val="20"/>
                <w:lang w:eastAsia="vi-VN"/>
              </w:rPr>
              <w:t xml:space="preserve"> of </w:t>
            </w:r>
            <w:r w:rsidRPr="0081329D">
              <w:rPr>
                <w:rFonts w:ascii="Arial" w:eastAsia="Times New Roman" w:hAnsi="Arial" w:cs="Arial"/>
                <w:color w:val="010000"/>
                <w:sz w:val="20"/>
                <w:lang w:val="vi-VN" w:eastAsia="vi-VN"/>
              </w:rPr>
              <w:t>charter capital)</w:t>
            </w:r>
          </w:p>
        </w:tc>
        <w:tc>
          <w:tcPr>
            <w:tcW w:w="740" w:type="pct"/>
            <w:shd w:val="clear" w:color="auto" w:fill="auto"/>
            <w:vAlign w:val="center"/>
          </w:tcPr>
          <w:p w:rsidR="00691474" w:rsidRPr="0081329D" w:rsidRDefault="00691474" w:rsidP="00697040">
            <w:pPr>
              <w:spacing w:after="120" w:line="360" w:lineRule="auto"/>
              <w:rPr>
                <w:rFonts w:ascii="Arial" w:eastAsia="Times New Roman" w:hAnsi="Arial" w:cs="Arial"/>
                <w:color w:val="010000"/>
                <w:sz w:val="20"/>
                <w:lang w:val="vi-VN"/>
              </w:rPr>
            </w:pPr>
            <w:r w:rsidRPr="0081329D">
              <w:rPr>
                <w:rFonts w:ascii="Arial" w:eastAsia="Times New Roman" w:hAnsi="Arial" w:cs="Arial"/>
                <w:color w:val="010000"/>
                <w:sz w:val="20"/>
                <w:lang w:val="vi-VN" w:eastAsia="vi-VN"/>
              </w:rPr>
              <w:t>%</w:t>
            </w:r>
          </w:p>
        </w:tc>
        <w:tc>
          <w:tcPr>
            <w:tcW w:w="1022" w:type="pct"/>
            <w:shd w:val="clear" w:color="auto" w:fill="auto"/>
            <w:vAlign w:val="center"/>
          </w:tcPr>
          <w:p w:rsidR="00691474" w:rsidRPr="0081329D" w:rsidRDefault="00691474" w:rsidP="00697040">
            <w:pPr>
              <w:spacing w:after="120" w:line="360" w:lineRule="auto"/>
              <w:rPr>
                <w:rFonts w:ascii="Arial" w:eastAsia="Times New Roman" w:hAnsi="Arial" w:cs="Arial"/>
                <w:color w:val="010000"/>
                <w:sz w:val="20"/>
                <w:lang w:val="vi-VN"/>
              </w:rPr>
            </w:pPr>
            <w:r w:rsidRPr="0081329D">
              <w:rPr>
                <w:rFonts w:ascii="Arial" w:eastAsia="Times New Roman" w:hAnsi="Arial" w:cs="Arial"/>
                <w:color w:val="010000"/>
                <w:sz w:val="20"/>
                <w:lang w:val="vi-VN" w:eastAsia="vi-VN"/>
              </w:rPr>
              <w:t>0</w:t>
            </w:r>
          </w:p>
        </w:tc>
      </w:tr>
    </w:tbl>
    <w:p w:rsidR="00202782" w:rsidRPr="0081329D" w:rsidRDefault="00467B61" w:rsidP="00E43D64">
      <w:pPr>
        <w:numPr>
          <w:ilvl w:val="0"/>
          <w:numId w:val="1"/>
        </w:numPr>
        <w:pBdr>
          <w:top w:val="nil"/>
          <w:left w:val="nil"/>
          <w:bottom w:val="nil"/>
          <w:right w:val="nil"/>
          <w:between w:val="nil"/>
        </w:pBdr>
        <w:tabs>
          <w:tab w:val="left" w:pos="432"/>
          <w:tab w:val="left" w:pos="1124"/>
        </w:tabs>
        <w:spacing w:after="120" w:line="360" w:lineRule="auto"/>
        <w:rPr>
          <w:rFonts w:ascii="Arial" w:eastAsia="Arial" w:hAnsi="Arial" w:cs="Arial"/>
          <w:color w:val="010000"/>
          <w:sz w:val="20"/>
          <w:szCs w:val="20"/>
        </w:rPr>
      </w:pPr>
      <w:r w:rsidRPr="0081329D">
        <w:rPr>
          <w:rFonts w:ascii="Arial" w:hAnsi="Arial" w:cs="Arial"/>
          <w:color w:val="010000"/>
          <w:sz w:val="20"/>
        </w:rPr>
        <w:t xml:space="preserve">Authorize the Board of Directors to decide on several issues under the authority of the General </w:t>
      </w:r>
      <w:r w:rsidRPr="0081329D">
        <w:rPr>
          <w:rFonts w:ascii="Arial" w:hAnsi="Arial" w:cs="Arial"/>
          <w:color w:val="010000"/>
          <w:sz w:val="20"/>
        </w:rPr>
        <w:lastRenderedPageBreak/>
        <w:t>Meeting of Shareholders</w:t>
      </w:r>
    </w:p>
    <w:p w:rsidR="00691474" w:rsidRPr="0081329D" w:rsidRDefault="00467B61" w:rsidP="00E43D64">
      <w:pPr>
        <w:pBdr>
          <w:top w:val="nil"/>
          <w:left w:val="nil"/>
          <w:bottom w:val="nil"/>
          <w:right w:val="nil"/>
          <w:between w:val="nil"/>
        </w:pBdr>
        <w:tabs>
          <w:tab w:val="left" w:pos="432"/>
        </w:tabs>
        <w:spacing w:after="120" w:line="360" w:lineRule="auto"/>
        <w:rPr>
          <w:rFonts w:ascii="Arial" w:hAnsi="Arial" w:cs="Arial"/>
          <w:color w:val="010000"/>
          <w:sz w:val="20"/>
        </w:rPr>
      </w:pPr>
      <w:r w:rsidRPr="0081329D">
        <w:rPr>
          <w:rFonts w:ascii="Arial" w:hAnsi="Arial" w:cs="Arial"/>
          <w:color w:val="010000"/>
          <w:sz w:val="20"/>
        </w:rPr>
        <w:t xml:space="preserve">Article 5: Approve the supplement </w:t>
      </w:r>
      <w:r w:rsidR="00691474" w:rsidRPr="0081329D">
        <w:rPr>
          <w:rFonts w:ascii="Arial" w:hAnsi="Arial" w:cs="Arial"/>
          <w:color w:val="010000"/>
          <w:sz w:val="20"/>
        </w:rPr>
        <w:t>of the Company's business lines.</w:t>
      </w:r>
    </w:p>
    <w:p w:rsidR="00202782" w:rsidRPr="0081329D" w:rsidRDefault="00467B61" w:rsidP="00E43D6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1329D">
        <w:rPr>
          <w:rFonts w:ascii="Arial" w:hAnsi="Arial" w:cs="Arial"/>
          <w:color w:val="010000"/>
          <w:sz w:val="20"/>
        </w:rPr>
        <w:t>Article 6: Terms of enforcement</w:t>
      </w:r>
    </w:p>
    <w:p w:rsidR="00202782" w:rsidRPr="0081329D" w:rsidRDefault="00467B61" w:rsidP="00E43D6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1329D">
        <w:rPr>
          <w:rFonts w:ascii="Arial" w:hAnsi="Arial" w:cs="Arial"/>
          <w:color w:val="010000"/>
          <w:sz w:val="20"/>
        </w:rPr>
        <w:t>This General Mandate takes effect from May 31, 2024</w:t>
      </w:r>
    </w:p>
    <w:p w:rsidR="00202782" w:rsidRPr="0081329D" w:rsidRDefault="00467B61" w:rsidP="00E43D6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1329D">
        <w:rPr>
          <w:rFonts w:ascii="Arial" w:hAnsi="Arial" w:cs="Arial"/>
          <w:color w:val="010000"/>
          <w:sz w:val="20"/>
        </w:rPr>
        <w:t>The General Meeting of Shareholders assigned the Board of Directors, the Supervisory Board, and the Board of Management to be responsible for implementing this General Mandate and organizing its implementation according to their functions and authority, in accordance with the provision of law and Charter of the Company's organization and operations.</w:t>
      </w:r>
    </w:p>
    <w:sectPr w:rsidR="00202782" w:rsidRPr="0081329D" w:rsidSect="00E43D64">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34A93"/>
    <w:multiLevelType w:val="hybridMultilevel"/>
    <w:tmpl w:val="E818743A"/>
    <w:lvl w:ilvl="0" w:tplc="522E101A">
      <w:start w:val="1"/>
      <w:numFmt w:val="decimal"/>
      <w:lvlText w:val="%1."/>
      <w:lvlJc w:val="left"/>
      <w:pPr>
        <w:ind w:left="720" w:hanging="360"/>
      </w:pPr>
      <w:rPr>
        <w:rFonts w:eastAsia="Courier New" w:hint="default"/>
        <w:b w:val="0"/>
        <w:i w:val="0"/>
        <w:sz w:val="20"/>
      </w:rPr>
    </w:lvl>
    <w:lvl w:ilvl="1" w:tplc="E7BE1DEC" w:tentative="1">
      <w:start w:val="1"/>
      <w:numFmt w:val="lowerLetter"/>
      <w:lvlText w:val="%2."/>
      <w:lvlJc w:val="left"/>
      <w:pPr>
        <w:ind w:left="1440" w:hanging="360"/>
      </w:pPr>
      <w:rPr>
        <w:b w:val="0"/>
        <w:i w:val="0"/>
        <w:sz w:val="20"/>
      </w:rPr>
    </w:lvl>
    <w:lvl w:ilvl="2" w:tplc="51466668" w:tentative="1">
      <w:start w:val="1"/>
      <w:numFmt w:val="lowerRoman"/>
      <w:lvlText w:val="%3."/>
      <w:lvlJc w:val="right"/>
      <w:pPr>
        <w:ind w:left="2160" w:hanging="180"/>
      </w:pPr>
      <w:rPr>
        <w:b w:val="0"/>
        <w:i w:val="0"/>
        <w:sz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DB020B"/>
    <w:multiLevelType w:val="multilevel"/>
    <w:tmpl w:val="07A8134C"/>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782"/>
    <w:rsid w:val="00202782"/>
    <w:rsid w:val="002C3305"/>
    <w:rsid w:val="00467B61"/>
    <w:rsid w:val="004C067D"/>
    <w:rsid w:val="004F1B7B"/>
    <w:rsid w:val="00687DFC"/>
    <w:rsid w:val="00691474"/>
    <w:rsid w:val="0081329D"/>
    <w:rsid w:val="00902035"/>
    <w:rsid w:val="00C75BD9"/>
    <w:rsid w:val="00E43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2496BD8-B619-4CCF-922B-A63CEFAE9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3">
    <w:name w:val="Văn bản nội dung (3)_"/>
    <w:basedOn w:val="DefaultParagraphFont"/>
    <w:link w:val="Vnbnnidung30"/>
    <w:rPr>
      <w:rFonts w:ascii="Arial" w:eastAsia="Arial" w:hAnsi="Arial" w:cs="Arial"/>
      <w:b/>
      <w:bCs/>
      <w:i w:val="0"/>
      <w:iCs w:val="0"/>
      <w:smallCaps w:val="0"/>
      <w:strike w:val="0"/>
      <w:sz w:val="9"/>
      <w:szCs w:val="9"/>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color w:val="605F62"/>
      <w:sz w:val="22"/>
      <w:szCs w:val="22"/>
      <w:u w:val="none"/>
      <w:shd w:val="clear" w:color="auto" w:fill="auto"/>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val="0"/>
      <w:iCs w:val="0"/>
      <w:smallCaps w:val="0"/>
      <w:strike w:val="0"/>
      <w:color w:val="B86D72"/>
      <w:sz w:val="16"/>
      <w:szCs w:val="16"/>
      <w:u w:val="singl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Vnbnnidung0">
    <w:name w:val="Văn bản nội dung"/>
    <w:basedOn w:val="Normal"/>
    <w:link w:val="Vnbnnidung"/>
    <w:pPr>
      <w:spacing w:line="307" w:lineRule="auto"/>
      <w:ind w:firstLine="400"/>
    </w:pPr>
    <w:rPr>
      <w:rFonts w:ascii="Times New Roman" w:eastAsia="Times New Roman" w:hAnsi="Times New Roman" w:cs="Times New Roman"/>
      <w:sz w:val="26"/>
      <w:szCs w:val="26"/>
    </w:rPr>
  </w:style>
  <w:style w:type="paragraph" w:customStyle="1" w:styleId="Vnbnnidung30">
    <w:name w:val="Văn bản nội dung (3)"/>
    <w:basedOn w:val="Normal"/>
    <w:link w:val="Vnbnnidung3"/>
    <w:pPr>
      <w:jc w:val="center"/>
    </w:pPr>
    <w:rPr>
      <w:rFonts w:ascii="Arial" w:eastAsia="Arial" w:hAnsi="Arial" w:cs="Arial"/>
      <w:b/>
      <w:bCs/>
      <w:sz w:val="9"/>
      <w:szCs w:val="9"/>
    </w:rPr>
  </w:style>
  <w:style w:type="paragraph" w:customStyle="1" w:styleId="Vnbnnidung20">
    <w:name w:val="Văn bản nội dung (2)"/>
    <w:basedOn w:val="Normal"/>
    <w:link w:val="Vnbnnidung2"/>
    <w:rPr>
      <w:rFonts w:ascii="Times New Roman" w:eastAsia="Times New Roman" w:hAnsi="Times New Roman" w:cs="Times New Roman"/>
      <w:color w:val="605F62"/>
      <w:sz w:val="22"/>
      <w:szCs w:val="22"/>
    </w:rPr>
  </w:style>
  <w:style w:type="paragraph" w:customStyle="1" w:styleId="Vnbnnidung40">
    <w:name w:val="Văn bản nội dung (4)"/>
    <w:basedOn w:val="Normal"/>
    <w:link w:val="Vnbnnidung4"/>
    <w:pPr>
      <w:spacing w:line="314" w:lineRule="auto"/>
      <w:jc w:val="right"/>
    </w:pPr>
    <w:rPr>
      <w:rFonts w:ascii="Times New Roman" w:eastAsia="Times New Roman" w:hAnsi="Times New Roman" w:cs="Times New Roman"/>
      <w:color w:val="B86D72"/>
      <w:sz w:val="16"/>
      <w:szCs w:val="16"/>
      <w:u w:val="single"/>
    </w:rPr>
  </w:style>
  <w:style w:type="paragraph" w:customStyle="1" w:styleId="Khc0">
    <w:name w:val="Khác"/>
    <w:basedOn w:val="Normal"/>
    <w:link w:val="Khc"/>
    <w:pPr>
      <w:spacing w:line="307" w:lineRule="auto"/>
      <w:ind w:firstLine="400"/>
    </w:pPr>
    <w:rPr>
      <w:rFonts w:ascii="Times New Roman" w:eastAsia="Times New Roman" w:hAnsi="Times New Roman" w:cs="Times New Roman"/>
      <w:sz w:val="26"/>
      <w:szCs w:val="26"/>
    </w:rPr>
  </w:style>
  <w:style w:type="paragraph" w:customStyle="1" w:styleId="Chthchbng0">
    <w:name w:val="Chú thích bảng"/>
    <w:basedOn w:val="Normal"/>
    <w:link w:val="Chthchbng"/>
    <w:rPr>
      <w:rFonts w:ascii="Times New Roman" w:eastAsia="Times New Roman" w:hAnsi="Times New Roman" w:cs="Times New Roman"/>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 w:type="paragraph" w:styleId="ListParagraph">
    <w:name w:val="List Paragraph"/>
    <w:basedOn w:val="Normal"/>
    <w:uiPriority w:val="34"/>
    <w:qFormat/>
    <w:rsid w:val="00467B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gwwjnBEDK3AMWFI3VJP+aA/D2w==">CgMxLjA4AHIhMUZ4SnRmNkdLbVBmWVZ2dnljSGdsMGlTM29SX2lXZkdR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2024-06-06T03:16:00Z</dcterms:created>
  <dcterms:modified xsi:type="dcterms:W3CDTF">2024-06-06T03:16:00Z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f1085d11f2f4b94a703e6453cdabb0797398eb317b8a45010cd48b232b985f8e</vt:lpwstr>
  </property>
</Properties>
</file>