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17797C">
        <w:rPr>
          <w:rFonts w:ascii="Arial" w:hAnsi="Arial" w:cs="Arial"/>
          <w:b/>
          <w:color w:val="010000"/>
          <w:sz w:val="20"/>
        </w:rPr>
        <w:t>PCT: Extraordinary General Mandate 2024</w:t>
      </w:r>
    </w:p>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On May 31, 2024, Global Pacific Shipping JSC announced General Mandate No. 02/2024/NQ-PCT-DHCD as follows:</w:t>
      </w:r>
    </w:p>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Article 1. Approve the following conten</w:t>
      </w:r>
      <w:bookmarkStart w:id="0" w:name="_GoBack"/>
      <w:bookmarkEnd w:id="0"/>
      <w:r w:rsidRPr="0017797C">
        <w:rPr>
          <w:rFonts w:ascii="Arial" w:hAnsi="Arial" w:cs="Arial"/>
          <w:color w:val="010000"/>
          <w:sz w:val="20"/>
        </w:rPr>
        <w:t>ts:</w:t>
      </w:r>
    </w:p>
    <w:p w:rsidR="0038017D" w:rsidRPr="0017797C" w:rsidRDefault="00A91C1F" w:rsidP="00DB32BF">
      <w:pPr>
        <w:numPr>
          <w:ilvl w:val="0"/>
          <w:numId w:val="11"/>
        </w:numPr>
        <w:pBdr>
          <w:top w:val="nil"/>
          <w:left w:val="nil"/>
          <w:bottom w:val="nil"/>
          <w:right w:val="nil"/>
          <w:between w:val="nil"/>
        </w:pBdr>
        <w:tabs>
          <w:tab w:val="left" w:pos="432"/>
          <w:tab w:val="left" w:pos="1165"/>
        </w:tabs>
        <w:spacing w:after="120" w:line="360" w:lineRule="auto"/>
        <w:jc w:val="both"/>
        <w:rPr>
          <w:rFonts w:ascii="Arial" w:eastAsia="Arial" w:hAnsi="Arial" w:cs="Arial"/>
          <w:color w:val="010000"/>
          <w:sz w:val="20"/>
          <w:szCs w:val="20"/>
        </w:rPr>
      </w:pPr>
      <w:r w:rsidRPr="0017797C">
        <w:rPr>
          <w:rFonts w:ascii="Arial" w:hAnsi="Arial" w:cs="Arial"/>
          <w:color w:val="010000"/>
          <w:sz w:val="20"/>
        </w:rPr>
        <w:t>Proposal on approving the Report on remuneration in 2023, the remuneration plan of the Board of Directors and the Supervisory Board for 2024.</w:t>
      </w:r>
    </w:p>
    <w:p w:rsidR="0038017D" w:rsidRPr="0017797C" w:rsidRDefault="00A91C1F" w:rsidP="00DB32BF">
      <w:pPr>
        <w:numPr>
          <w:ilvl w:val="0"/>
          <w:numId w:val="11"/>
        </w:numPr>
        <w:pBdr>
          <w:top w:val="nil"/>
          <w:left w:val="nil"/>
          <w:bottom w:val="nil"/>
          <w:right w:val="nil"/>
          <w:between w:val="nil"/>
        </w:pBdr>
        <w:tabs>
          <w:tab w:val="left" w:pos="432"/>
          <w:tab w:val="left" w:pos="1205"/>
        </w:tabs>
        <w:spacing w:after="120" w:line="360" w:lineRule="auto"/>
        <w:jc w:val="both"/>
        <w:rPr>
          <w:rFonts w:ascii="Arial" w:eastAsia="Arial" w:hAnsi="Arial" w:cs="Arial"/>
          <w:color w:val="010000"/>
          <w:sz w:val="20"/>
          <w:szCs w:val="20"/>
        </w:rPr>
      </w:pPr>
      <w:r w:rsidRPr="0017797C">
        <w:rPr>
          <w:rFonts w:ascii="Arial" w:hAnsi="Arial" w:cs="Arial"/>
          <w:color w:val="010000"/>
          <w:sz w:val="20"/>
        </w:rPr>
        <w:t>Proposal on the selection of an Audit Company for the fiscal year of 2024.</w:t>
      </w:r>
    </w:p>
    <w:p w:rsidR="0038017D" w:rsidRPr="0017797C" w:rsidRDefault="00A91C1F" w:rsidP="00DB32BF">
      <w:pPr>
        <w:numPr>
          <w:ilvl w:val="0"/>
          <w:numId w:val="11"/>
        </w:numPr>
        <w:pBdr>
          <w:top w:val="nil"/>
          <w:left w:val="nil"/>
          <w:bottom w:val="nil"/>
          <w:right w:val="nil"/>
          <w:between w:val="nil"/>
        </w:pBdr>
        <w:tabs>
          <w:tab w:val="left" w:pos="432"/>
          <w:tab w:val="left" w:pos="1185"/>
        </w:tabs>
        <w:spacing w:after="120" w:line="360" w:lineRule="auto"/>
        <w:jc w:val="both"/>
        <w:rPr>
          <w:rFonts w:ascii="Arial" w:eastAsia="Arial" w:hAnsi="Arial" w:cs="Arial"/>
          <w:color w:val="010000"/>
          <w:sz w:val="20"/>
          <w:szCs w:val="20"/>
        </w:rPr>
      </w:pPr>
      <w:r w:rsidRPr="0017797C">
        <w:rPr>
          <w:rFonts w:ascii="Arial" w:hAnsi="Arial" w:cs="Arial"/>
          <w:color w:val="010000"/>
          <w:sz w:val="20"/>
        </w:rPr>
        <w:t>Proposal on appropriation for investment and development fund from the remaining undistributed profit of 2023</w:t>
      </w:r>
    </w:p>
    <w:p w:rsidR="0038017D" w:rsidRPr="0017797C" w:rsidRDefault="00A91C1F" w:rsidP="00DB32BF">
      <w:pPr>
        <w:numPr>
          <w:ilvl w:val="0"/>
          <w:numId w:val="11"/>
        </w:numPr>
        <w:pBdr>
          <w:top w:val="nil"/>
          <w:left w:val="nil"/>
          <w:bottom w:val="nil"/>
          <w:right w:val="nil"/>
          <w:between w:val="nil"/>
        </w:pBdr>
        <w:tabs>
          <w:tab w:val="left" w:pos="432"/>
          <w:tab w:val="left" w:pos="4485"/>
        </w:tabs>
        <w:spacing w:after="120" w:line="360" w:lineRule="auto"/>
        <w:jc w:val="both"/>
        <w:rPr>
          <w:rFonts w:ascii="Arial" w:eastAsia="Arial" w:hAnsi="Arial" w:cs="Arial"/>
          <w:color w:val="010000"/>
          <w:sz w:val="20"/>
          <w:szCs w:val="20"/>
        </w:rPr>
      </w:pPr>
      <w:r w:rsidRPr="0017797C">
        <w:rPr>
          <w:rFonts w:ascii="Arial" w:hAnsi="Arial" w:cs="Arial"/>
          <w:color w:val="010000"/>
          <w:sz w:val="20"/>
        </w:rPr>
        <w:t xml:space="preserve">Proposal on approving </w:t>
      </w:r>
      <w:r w:rsidR="002761A3" w:rsidRPr="0017797C">
        <w:rPr>
          <w:rFonts w:ascii="Arial" w:hAnsi="Arial" w:cs="Arial"/>
          <w:color w:val="010000"/>
          <w:sz w:val="20"/>
        </w:rPr>
        <w:t xml:space="preserve">Plan on Ship Investment </w:t>
      </w:r>
      <w:r w:rsidRPr="0017797C">
        <w:rPr>
          <w:rFonts w:ascii="Arial" w:hAnsi="Arial" w:cs="Arial"/>
          <w:color w:val="010000"/>
          <w:sz w:val="20"/>
        </w:rPr>
        <w:t xml:space="preserve">No. 04, type of oil product/chemical tanker, </w:t>
      </w:r>
      <w:r w:rsidR="002761A3" w:rsidRPr="0017797C">
        <w:rPr>
          <w:rFonts w:ascii="Arial" w:hAnsi="Arial" w:cs="Arial"/>
          <w:color w:val="010000"/>
          <w:sz w:val="20"/>
        </w:rPr>
        <w:t>the capacity</w:t>
      </w:r>
      <w:r w:rsidRPr="0017797C">
        <w:rPr>
          <w:rFonts w:ascii="Arial" w:hAnsi="Arial" w:cs="Arial"/>
          <w:color w:val="010000"/>
          <w:sz w:val="20"/>
        </w:rPr>
        <w:t xml:space="preserve"> of about 19,000 DWT - 25,000 DWT.</w:t>
      </w:r>
    </w:p>
    <w:p w:rsidR="0038017D" w:rsidRPr="0017797C" w:rsidRDefault="00A91C1F" w:rsidP="00DB32BF">
      <w:pPr>
        <w:numPr>
          <w:ilvl w:val="0"/>
          <w:numId w:val="11"/>
        </w:numPr>
        <w:pBdr>
          <w:top w:val="nil"/>
          <w:left w:val="nil"/>
          <w:bottom w:val="nil"/>
          <w:right w:val="nil"/>
          <w:between w:val="nil"/>
        </w:pBdr>
        <w:tabs>
          <w:tab w:val="left" w:pos="432"/>
          <w:tab w:val="left" w:pos="1205"/>
        </w:tabs>
        <w:spacing w:after="120" w:line="360" w:lineRule="auto"/>
        <w:jc w:val="both"/>
        <w:rPr>
          <w:rFonts w:ascii="Arial" w:eastAsia="Arial" w:hAnsi="Arial" w:cs="Arial"/>
          <w:color w:val="010000"/>
          <w:sz w:val="20"/>
          <w:szCs w:val="20"/>
        </w:rPr>
      </w:pPr>
      <w:r w:rsidRPr="0017797C">
        <w:rPr>
          <w:rFonts w:ascii="Arial" w:hAnsi="Arial" w:cs="Arial"/>
          <w:color w:val="010000"/>
          <w:sz w:val="20"/>
        </w:rPr>
        <w:t>Proposal on the dismissal and election of additional members to the Board of Directors in the term of 2023 - 2028.</w:t>
      </w:r>
    </w:p>
    <w:p w:rsidR="0038017D" w:rsidRPr="0017797C" w:rsidRDefault="00A91C1F" w:rsidP="00DB32BF">
      <w:pPr>
        <w:numPr>
          <w:ilvl w:val="0"/>
          <w:numId w:val="11"/>
        </w:numPr>
        <w:pBdr>
          <w:top w:val="nil"/>
          <w:left w:val="nil"/>
          <w:bottom w:val="nil"/>
          <w:right w:val="nil"/>
          <w:between w:val="nil"/>
        </w:pBdr>
        <w:tabs>
          <w:tab w:val="left" w:pos="432"/>
          <w:tab w:val="left" w:pos="1205"/>
        </w:tabs>
        <w:spacing w:after="120" w:line="360" w:lineRule="auto"/>
        <w:jc w:val="both"/>
        <w:rPr>
          <w:rFonts w:ascii="Arial" w:eastAsia="Arial" w:hAnsi="Arial" w:cs="Arial"/>
          <w:color w:val="010000"/>
          <w:sz w:val="20"/>
          <w:szCs w:val="20"/>
        </w:rPr>
      </w:pPr>
      <w:r w:rsidRPr="0017797C">
        <w:rPr>
          <w:rFonts w:ascii="Arial" w:hAnsi="Arial" w:cs="Arial"/>
          <w:color w:val="010000"/>
          <w:sz w:val="20"/>
        </w:rPr>
        <w:t>Proposal on the dismissal and election of additional members to the Supervisory Board in the term of 2023 - 2028.</w:t>
      </w:r>
    </w:p>
    <w:p w:rsidR="0038017D" w:rsidRPr="0017797C" w:rsidRDefault="00A91C1F" w:rsidP="00DB32BF">
      <w:pPr>
        <w:numPr>
          <w:ilvl w:val="0"/>
          <w:numId w:val="11"/>
        </w:numPr>
        <w:pBdr>
          <w:top w:val="nil"/>
          <w:left w:val="nil"/>
          <w:bottom w:val="nil"/>
          <w:right w:val="nil"/>
          <w:between w:val="nil"/>
        </w:pBdr>
        <w:tabs>
          <w:tab w:val="left" w:pos="432"/>
          <w:tab w:val="left" w:pos="1205"/>
        </w:tabs>
        <w:spacing w:after="120" w:line="360" w:lineRule="auto"/>
        <w:jc w:val="both"/>
        <w:rPr>
          <w:rFonts w:ascii="Arial" w:eastAsia="Arial" w:hAnsi="Arial" w:cs="Arial"/>
          <w:color w:val="010000"/>
          <w:sz w:val="20"/>
          <w:szCs w:val="20"/>
        </w:rPr>
      </w:pPr>
      <w:r w:rsidRPr="0017797C">
        <w:rPr>
          <w:rFonts w:ascii="Arial" w:hAnsi="Arial" w:cs="Arial"/>
          <w:color w:val="010000"/>
          <w:sz w:val="20"/>
        </w:rPr>
        <w:t xml:space="preserve">Proposal on approving the plan to offer additional shares to existing shareholders </w:t>
      </w:r>
      <w:r w:rsidR="002761A3" w:rsidRPr="0017797C">
        <w:rPr>
          <w:rFonts w:ascii="Arial" w:hAnsi="Arial" w:cs="Arial"/>
          <w:color w:val="010000"/>
          <w:sz w:val="20"/>
        </w:rPr>
        <w:t>to</w:t>
      </w:r>
      <w:r w:rsidRPr="0017797C">
        <w:rPr>
          <w:rFonts w:ascii="Arial" w:hAnsi="Arial" w:cs="Arial"/>
          <w:color w:val="010000"/>
          <w:sz w:val="20"/>
        </w:rPr>
        <w:t xml:space="preserve"> increase the Company’s charter capital.</w:t>
      </w:r>
    </w:p>
    <w:p w:rsidR="0038017D" w:rsidRPr="0017797C" w:rsidRDefault="00A91C1F" w:rsidP="00DB32BF">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7797C">
        <w:rPr>
          <w:rFonts w:ascii="Arial" w:hAnsi="Arial" w:cs="Arial"/>
          <w:color w:val="010000"/>
          <w:sz w:val="20"/>
        </w:rPr>
        <w:t>Plan to offer more shares:</w:t>
      </w:r>
    </w:p>
    <w:p w:rsidR="0038017D" w:rsidRPr="0017797C" w:rsidRDefault="00A91C1F" w:rsidP="00DB32BF">
      <w:pPr>
        <w:keepNext/>
        <w:numPr>
          <w:ilvl w:val="0"/>
          <w:numId w:val="9"/>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Issuer: Global Pacific Shipping JSC.</w:t>
      </w:r>
    </w:p>
    <w:p w:rsidR="0038017D" w:rsidRPr="0017797C" w:rsidRDefault="00A91C1F" w:rsidP="00DB32BF">
      <w:pPr>
        <w:numPr>
          <w:ilvl w:val="0"/>
          <w:numId w:val="9"/>
        </w:numPr>
        <w:pBdr>
          <w:top w:val="nil"/>
          <w:left w:val="nil"/>
          <w:bottom w:val="nil"/>
          <w:right w:val="nil"/>
          <w:between w:val="nil"/>
        </w:pBdr>
        <w:tabs>
          <w:tab w:val="left" w:pos="432"/>
          <w:tab w:val="left" w:pos="470"/>
        </w:tabs>
        <w:spacing w:after="120" w:line="360" w:lineRule="auto"/>
        <w:jc w:val="both"/>
        <w:rPr>
          <w:rFonts w:ascii="Arial" w:eastAsia="Arial" w:hAnsi="Arial" w:cs="Arial"/>
          <w:color w:val="010000"/>
          <w:sz w:val="20"/>
          <w:szCs w:val="20"/>
        </w:rPr>
      </w:pPr>
      <w:r w:rsidRPr="0017797C">
        <w:rPr>
          <w:rFonts w:ascii="Arial" w:hAnsi="Arial" w:cs="Arial"/>
          <w:color w:val="010000"/>
          <w:sz w:val="20"/>
        </w:rPr>
        <w:t>Share name: Global Pacific Shipping JSC shares.</w:t>
      </w:r>
    </w:p>
    <w:p w:rsidR="0038017D" w:rsidRPr="0017797C" w:rsidRDefault="00A91C1F" w:rsidP="00DB32BF">
      <w:pPr>
        <w:numPr>
          <w:ilvl w:val="0"/>
          <w:numId w:val="9"/>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Share type: Common shares.</w:t>
      </w:r>
    </w:p>
    <w:p w:rsidR="0038017D" w:rsidRPr="0017797C" w:rsidRDefault="00A91C1F" w:rsidP="00DB32BF">
      <w:pPr>
        <w:numPr>
          <w:ilvl w:val="0"/>
          <w:numId w:val="9"/>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Share code: PCT.</w:t>
      </w:r>
    </w:p>
    <w:p w:rsidR="0038017D" w:rsidRPr="0017797C" w:rsidRDefault="00A91C1F" w:rsidP="00DB32BF">
      <w:pPr>
        <w:numPr>
          <w:ilvl w:val="0"/>
          <w:numId w:val="2"/>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Par value: VND 10,000/share.</w:t>
      </w:r>
    </w:p>
    <w:p w:rsidR="0038017D" w:rsidRPr="0017797C" w:rsidRDefault="00A91C1F" w:rsidP="00DB32BF">
      <w:pPr>
        <w:numPr>
          <w:ilvl w:val="0"/>
          <w:numId w:val="2"/>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Total number of issued shares: 50,035,493 share</w:t>
      </w:r>
      <w:r w:rsidR="002761A3" w:rsidRPr="0017797C">
        <w:rPr>
          <w:rFonts w:ascii="Arial" w:hAnsi="Arial" w:cs="Arial"/>
          <w:color w:val="010000"/>
          <w:sz w:val="20"/>
        </w:rPr>
        <w:t>s</w:t>
      </w:r>
    </w:p>
    <w:p w:rsidR="0038017D" w:rsidRPr="0017797C" w:rsidRDefault="00A91C1F" w:rsidP="00DB32BF">
      <w:pPr>
        <w:numPr>
          <w:ilvl w:val="0"/>
          <w:numId w:val="2"/>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Number of treasury shares: 0 shares.</w:t>
      </w:r>
    </w:p>
    <w:p w:rsidR="0038017D" w:rsidRPr="0017797C" w:rsidRDefault="00A91C1F" w:rsidP="00DB32BF">
      <w:pPr>
        <w:numPr>
          <w:ilvl w:val="0"/>
          <w:numId w:val="2"/>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Number of outstanding shares: 50,035,493 shares.</w:t>
      </w:r>
    </w:p>
    <w:p w:rsidR="0038017D" w:rsidRPr="0017797C" w:rsidRDefault="00A91C1F" w:rsidP="00DB32BF">
      <w:pPr>
        <w:numPr>
          <w:ilvl w:val="0"/>
          <w:numId w:val="2"/>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Charter capital before the offering: VND 500,354,930,000.</w:t>
      </w:r>
    </w:p>
    <w:p w:rsidR="0038017D" w:rsidRPr="0017797C" w:rsidRDefault="00A91C1F" w:rsidP="00DB32BF">
      <w:pPr>
        <w:numPr>
          <w:ilvl w:val="0"/>
          <w:numId w:val="2"/>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Number of shares expected to be offered: 33,356,996 shares.</w:t>
      </w:r>
    </w:p>
    <w:p w:rsidR="0038017D" w:rsidRPr="0017797C" w:rsidRDefault="00A91C1F" w:rsidP="00DB32BF">
      <w:pPr>
        <w:numPr>
          <w:ilvl w:val="0"/>
          <w:numId w:val="2"/>
        </w:numPr>
        <w:pBdr>
          <w:top w:val="nil"/>
          <w:left w:val="nil"/>
          <w:bottom w:val="nil"/>
          <w:right w:val="nil"/>
          <w:between w:val="nil"/>
        </w:pBdr>
        <w:tabs>
          <w:tab w:val="left" w:pos="432"/>
          <w:tab w:val="left" w:pos="870"/>
        </w:tabs>
        <w:spacing w:after="120" w:line="360" w:lineRule="auto"/>
        <w:jc w:val="both"/>
        <w:rPr>
          <w:rFonts w:ascii="Arial" w:eastAsia="Arial" w:hAnsi="Arial" w:cs="Arial"/>
          <w:color w:val="010000"/>
          <w:sz w:val="20"/>
          <w:szCs w:val="20"/>
        </w:rPr>
      </w:pPr>
      <w:r w:rsidRPr="0017797C">
        <w:rPr>
          <w:rFonts w:ascii="Arial" w:hAnsi="Arial" w:cs="Arial"/>
          <w:color w:val="010000"/>
          <w:sz w:val="20"/>
        </w:rPr>
        <w:t>Issuance rate (number of shares expected to be issued/number of outstanding shares):</w:t>
      </w:r>
    </w:p>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 xml:space="preserve"> 66.67%.</w:t>
      </w:r>
    </w:p>
    <w:p w:rsidR="0038017D" w:rsidRPr="0017797C" w:rsidRDefault="00A91C1F" w:rsidP="00DB32BF">
      <w:pPr>
        <w:numPr>
          <w:ilvl w:val="0"/>
          <w:numId w:val="2"/>
        </w:numPr>
        <w:pBdr>
          <w:top w:val="nil"/>
          <w:left w:val="nil"/>
          <w:bottom w:val="nil"/>
          <w:right w:val="nil"/>
          <w:between w:val="nil"/>
        </w:pBdr>
        <w:tabs>
          <w:tab w:val="left" w:pos="432"/>
          <w:tab w:val="left" w:pos="985"/>
          <w:tab w:val="left" w:pos="5393"/>
        </w:tabs>
        <w:spacing w:after="120" w:line="360" w:lineRule="auto"/>
        <w:jc w:val="both"/>
        <w:rPr>
          <w:rFonts w:ascii="Arial" w:eastAsia="Arial" w:hAnsi="Arial" w:cs="Arial"/>
          <w:color w:val="010000"/>
          <w:sz w:val="20"/>
          <w:szCs w:val="20"/>
        </w:rPr>
      </w:pPr>
      <w:r w:rsidRPr="0017797C">
        <w:rPr>
          <w:rFonts w:ascii="Arial" w:hAnsi="Arial" w:cs="Arial"/>
          <w:color w:val="010000"/>
          <w:sz w:val="20"/>
        </w:rPr>
        <w:t>Offering price: VND 10,000/share.</w:t>
      </w:r>
    </w:p>
    <w:p w:rsidR="0038017D" w:rsidRPr="0017797C" w:rsidRDefault="00A91C1F" w:rsidP="00DB32BF">
      <w:pPr>
        <w:numPr>
          <w:ilvl w:val="0"/>
          <w:numId w:val="2"/>
        </w:numPr>
        <w:pBdr>
          <w:top w:val="nil"/>
          <w:left w:val="nil"/>
          <w:bottom w:val="nil"/>
          <w:right w:val="nil"/>
          <w:between w:val="nil"/>
        </w:pBdr>
        <w:tabs>
          <w:tab w:val="left" w:pos="432"/>
          <w:tab w:val="left" w:pos="956"/>
          <w:tab w:val="center" w:pos="6372"/>
          <w:tab w:val="left" w:pos="6575"/>
          <w:tab w:val="right" w:pos="8878"/>
        </w:tabs>
        <w:spacing w:after="120" w:line="360" w:lineRule="auto"/>
        <w:jc w:val="both"/>
        <w:rPr>
          <w:rFonts w:ascii="Arial" w:eastAsia="Arial" w:hAnsi="Arial" w:cs="Arial"/>
          <w:color w:val="010000"/>
          <w:sz w:val="20"/>
          <w:szCs w:val="20"/>
        </w:rPr>
      </w:pPr>
      <w:r w:rsidRPr="0017797C">
        <w:rPr>
          <w:rFonts w:ascii="Arial" w:hAnsi="Arial" w:cs="Arial"/>
          <w:color w:val="010000"/>
          <w:sz w:val="20"/>
        </w:rPr>
        <w:t>Total value of shares expected to be offered at par value: VND 333,569,960,000.</w:t>
      </w:r>
    </w:p>
    <w:p w:rsidR="0038017D" w:rsidRPr="0017797C" w:rsidRDefault="00A91C1F" w:rsidP="00DB32BF">
      <w:pPr>
        <w:numPr>
          <w:ilvl w:val="0"/>
          <w:numId w:val="2"/>
        </w:numPr>
        <w:pBdr>
          <w:top w:val="nil"/>
          <w:left w:val="nil"/>
          <w:bottom w:val="nil"/>
          <w:right w:val="nil"/>
          <w:between w:val="nil"/>
        </w:pBdr>
        <w:tabs>
          <w:tab w:val="left" w:pos="432"/>
          <w:tab w:val="left" w:pos="956"/>
          <w:tab w:val="center" w:pos="6372"/>
          <w:tab w:val="left" w:pos="6575"/>
          <w:tab w:val="right" w:pos="8878"/>
        </w:tabs>
        <w:spacing w:after="120" w:line="360" w:lineRule="auto"/>
        <w:jc w:val="both"/>
        <w:rPr>
          <w:rFonts w:ascii="Arial" w:eastAsia="Arial" w:hAnsi="Arial" w:cs="Arial"/>
          <w:color w:val="010000"/>
          <w:sz w:val="20"/>
          <w:szCs w:val="20"/>
        </w:rPr>
      </w:pPr>
      <w:r w:rsidRPr="0017797C">
        <w:rPr>
          <w:rFonts w:ascii="Arial" w:hAnsi="Arial" w:cs="Arial"/>
          <w:color w:val="010000"/>
          <w:sz w:val="20"/>
        </w:rPr>
        <w:lastRenderedPageBreak/>
        <w:t>Total amount expected from the offering:</w:t>
      </w:r>
      <w:r w:rsidR="00B00879" w:rsidRPr="0017797C">
        <w:rPr>
          <w:rFonts w:ascii="Arial" w:hAnsi="Arial" w:cs="Arial"/>
          <w:color w:val="010000"/>
          <w:sz w:val="20"/>
        </w:rPr>
        <w:t xml:space="preserve"> </w:t>
      </w:r>
      <w:r w:rsidRPr="0017797C">
        <w:rPr>
          <w:rFonts w:ascii="Arial" w:hAnsi="Arial" w:cs="Arial"/>
          <w:color w:val="010000"/>
          <w:sz w:val="20"/>
        </w:rPr>
        <w:t>VND 333,569,960,000.</w:t>
      </w:r>
    </w:p>
    <w:p w:rsidR="0038017D" w:rsidRPr="0017797C" w:rsidRDefault="00A91C1F" w:rsidP="00DB32BF">
      <w:pPr>
        <w:numPr>
          <w:ilvl w:val="0"/>
          <w:numId w:val="2"/>
        </w:numPr>
        <w:pBdr>
          <w:top w:val="nil"/>
          <w:left w:val="nil"/>
          <w:bottom w:val="nil"/>
          <w:right w:val="nil"/>
          <w:between w:val="nil"/>
        </w:pBdr>
        <w:tabs>
          <w:tab w:val="left" w:pos="432"/>
          <w:tab w:val="left" w:pos="956"/>
          <w:tab w:val="center" w:pos="6372"/>
          <w:tab w:val="left" w:pos="6580"/>
          <w:tab w:val="right" w:pos="8878"/>
        </w:tabs>
        <w:spacing w:after="120" w:line="360" w:lineRule="auto"/>
        <w:jc w:val="both"/>
        <w:rPr>
          <w:rFonts w:ascii="Arial" w:eastAsia="Arial" w:hAnsi="Arial" w:cs="Arial"/>
          <w:color w:val="010000"/>
          <w:sz w:val="20"/>
          <w:szCs w:val="20"/>
        </w:rPr>
      </w:pPr>
      <w:r w:rsidRPr="0017797C">
        <w:rPr>
          <w:rFonts w:ascii="Arial" w:hAnsi="Arial" w:cs="Arial"/>
          <w:color w:val="010000"/>
          <w:sz w:val="20"/>
        </w:rPr>
        <w:t>Expected charter capital after offering: VND 833,924,890,000.</w:t>
      </w:r>
    </w:p>
    <w:p w:rsidR="0038017D" w:rsidRPr="0017797C" w:rsidRDefault="00A91C1F" w:rsidP="00DB32BF">
      <w:pPr>
        <w:numPr>
          <w:ilvl w:val="0"/>
          <w:numId w:val="2"/>
        </w:numPr>
        <w:pBdr>
          <w:top w:val="nil"/>
          <w:left w:val="nil"/>
          <w:bottom w:val="nil"/>
          <w:right w:val="nil"/>
          <w:between w:val="nil"/>
        </w:pBdr>
        <w:tabs>
          <w:tab w:val="left" w:pos="432"/>
          <w:tab w:val="left" w:pos="956"/>
        </w:tabs>
        <w:spacing w:after="120" w:line="360" w:lineRule="auto"/>
        <w:jc w:val="both"/>
        <w:rPr>
          <w:rFonts w:ascii="Arial" w:eastAsia="Arial" w:hAnsi="Arial" w:cs="Arial"/>
          <w:color w:val="010000"/>
          <w:sz w:val="20"/>
          <w:szCs w:val="20"/>
        </w:rPr>
      </w:pPr>
      <w:r w:rsidRPr="0017797C">
        <w:rPr>
          <w:rFonts w:ascii="Arial" w:hAnsi="Arial" w:cs="Arial"/>
          <w:color w:val="010000"/>
          <w:sz w:val="20"/>
        </w:rPr>
        <w:t>Expected time of the offering: In 2024, after being approved by the State Securities Commission, authorize the Board of Directors to decide in accordance with the provisions of Law.</w:t>
      </w:r>
    </w:p>
    <w:p w:rsidR="0038017D" w:rsidRPr="0017797C" w:rsidRDefault="00A91C1F" w:rsidP="00DB32BF">
      <w:pPr>
        <w:numPr>
          <w:ilvl w:val="0"/>
          <w:numId w:val="2"/>
        </w:numPr>
        <w:pBdr>
          <w:top w:val="nil"/>
          <w:left w:val="nil"/>
          <w:bottom w:val="nil"/>
          <w:right w:val="nil"/>
          <w:between w:val="nil"/>
        </w:pBdr>
        <w:tabs>
          <w:tab w:val="left" w:pos="432"/>
          <w:tab w:val="left" w:pos="956"/>
        </w:tabs>
        <w:spacing w:after="120" w:line="360" w:lineRule="auto"/>
        <w:jc w:val="both"/>
        <w:rPr>
          <w:rFonts w:ascii="Arial" w:eastAsia="Arial" w:hAnsi="Arial" w:cs="Arial"/>
          <w:color w:val="010000"/>
          <w:sz w:val="20"/>
          <w:szCs w:val="20"/>
        </w:rPr>
      </w:pPr>
      <w:r w:rsidRPr="0017797C">
        <w:rPr>
          <w:rFonts w:ascii="Arial" w:hAnsi="Arial" w:cs="Arial"/>
          <w:color w:val="010000"/>
          <w:sz w:val="20"/>
        </w:rPr>
        <w:t>Offering method: Additional public offering for existing shareholders by exercising purchase rights.</w:t>
      </w:r>
    </w:p>
    <w:p w:rsidR="0038017D" w:rsidRPr="0017797C" w:rsidRDefault="00A91C1F" w:rsidP="00DB32BF">
      <w:pPr>
        <w:numPr>
          <w:ilvl w:val="0"/>
          <w:numId w:val="2"/>
        </w:numPr>
        <w:pBdr>
          <w:top w:val="nil"/>
          <w:left w:val="nil"/>
          <w:bottom w:val="nil"/>
          <w:right w:val="nil"/>
          <w:between w:val="nil"/>
        </w:pBdr>
        <w:tabs>
          <w:tab w:val="left" w:pos="432"/>
          <w:tab w:val="left" w:pos="956"/>
        </w:tabs>
        <w:spacing w:after="120" w:line="360" w:lineRule="auto"/>
        <w:jc w:val="both"/>
        <w:rPr>
          <w:rFonts w:ascii="Arial" w:eastAsia="Arial" w:hAnsi="Arial" w:cs="Arial"/>
          <w:color w:val="010000"/>
          <w:sz w:val="20"/>
          <w:szCs w:val="20"/>
        </w:rPr>
      </w:pPr>
      <w:r w:rsidRPr="0017797C">
        <w:rPr>
          <w:rFonts w:ascii="Arial" w:hAnsi="Arial" w:cs="Arial"/>
          <w:color w:val="010000"/>
          <w:sz w:val="20"/>
        </w:rPr>
        <w:t>Eligible buyers: Existing shareholders of Global Pacific Shipping JSC on the list of shareholders on the record date to exercise the rights to purchase additional shares offered to existing shareholders provided by Vietnam Securities Depository and Clearing Corporation (VSDC).</w:t>
      </w:r>
    </w:p>
    <w:p w:rsidR="0038017D" w:rsidRPr="0017797C" w:rsidRDefault="00A91C1F" w:rsidP="00DB32BF">
      <w:pPr>
        <w:numPr>
          <w:ilvl w:val="0"/>
          <w:numId w:val="2"/>
        </w:numPr>
        <w:pBdr>
          <w:top w:val="nil"/>
          <w:left w:val="nil"/>
          <w:bottom w:val="nil"/>
          <w:right w:val="nil"/>
          <w:between w:val="nil"/>
        </w:pBdr>
        <w:tabs>
          <w:tab w:val="left" w:pos="432"/>
          <w:tab w:val="left" w:pos="956"/>
        </w:tabs>
        <w:spacing w:after="120" w:line="360" w:lineRule="auto"/>
        <w:jc w:val="both"/>
        <w:rPr>
          <w:rFonts w:ascii="Arial" w:eastAsia="Arial" w:hAnsi="Arial" w:cs="Arial"/>
          <w:color w:val="010000"/>
          <w:sz w:val="20"/>
          <w:szCs w:val="20"/>
        </w:rPr>
      </w:pPr>
      <w:r w:rsidRPr="0017797C">
        <w:rPr>
          <w:rFonts w:ascii="Arial" w:hAnsi="Arial" w:cs="Arial"/>
          <w:color w:val="010000"/>
          <w:sz w:val="20"/>
        </w:rPr>
        <w:t>Rights exercise rate: 3:2</w:t>
      </w:r>
      <w:r w:rsidR="0017797C" w:rsidRPr="0017797C">
        <w:rPr>
          <w:rFonts w:ascii="Arial" w:hAnsi="Arial" w:cs="Arial"/>
          <w:color w:val="010000"/>
          <w:sz w:val="20"/>
        </w:rPr>
        <w:t xml:space="preserve">, </w:t>
      </w:r>
      <w:r w:rsidRPr="0017797C">
        <w:rPr>
          <w:rFonts w:ascii="Arial" w:hAnsi="Arial" w:cs="Arial"/>
          <w:color w:val="010000"/>
          <w:sz w:val="20"/>
        </w:rPr>
        <w:t>on the record date of the list of shareholders exercising their rights, shareholders who own 01 share will be entitled to 01 right to buy additional shares issued, for every 03 purchase rights they will be entitled to buy 02 new additional issued shares.</w:t>
      </w:r>
    </w:p>
    <w:p w:rsidR="0038017D" w:rsidRPr="0017797C" w:rsidRDefault="00A91C1F" w:rsidP="00DB32BF">
      <w:pPr>
        <w:numPr>
          <w:ilvl w:val="0"/>
          <w:numId w:val="2"/>
        </w:numPr>
        <w:pBdr>
          <w:top w:val="nil"/>
          <w:left w:val="nil"/>
          <w:bottom w:val="nil"/>
          <w:right w:val="nil"/>
          <w:between w:val="nil"/>
        </w:pBdr>
        <w:tabs>
          <w:tab w:val="left" w:pos="432"/>
          <w:tab w:val="left" w:pos="956"/>
        </w:tabs>
        <w:spacing w:after="120" w:line="360" w:lineRule="auto"/>
        <w:jc w:val="both"/>
        <w:rPr>
          <w:rFonts w:ascii="Arial" w:eastAsia="Arial" w:hAnsi="Arial" w:cs="Arial"/>
          <w:color w:val="010000"/>
          <w:sz w:val="20"/>
          <w:szCs w:val="20"/>
        </w:rPr>
      </w:pPr>
      <w:r w:rsidRPr="0017797C">
        <w:rPr>
          <w:rFonts w:ascii="Arial" w:hAnsi="Arial" w:cs="Arial"/>
          <w:color w:val="010000"/>
          <w:sz w:val="20"/>
        </w:rPr>
        <w:t>Transfer of share purchase rights: Shareholders who own the rights to purchase shares are allowed to transfer their purchase rights to others and only transfer once (The transferee is not allowed to transfer to a third party). Share purchase rights are allowed to be divided and transferred to many different investors</w:t>
      </w:r>
      <w:r w:rsidR="002761A3" w:rsidRPr="0017797C">
        <w:rPr>
          <w:rFonts w:ascii="Arial" w:hAnsi="Arial" w:cs="Arial"/>
          <w:color w:val="010000"/>
          <w:sz w:val="20"/>
        </w:rPr>
        <w:t xml:space="preserve"> according to</w:t>
      </w:r>
      <w:r w:rsidRPr="0017797C">
        <w:rPr>
          <w:rFonts w:ascii="Arial" w:hAnsi="Arial" w:cs="Arial"/>
          <w:color w:val="010000"/>
          <w:sz w:val="20"/>
        </w:rPr>
        <w:t xml:space="preserve"> the agreement of both parties. The transferor and transferee agree on the price and immediately pay for the </w:t>
      </w:r>
      <w:r w:rsidR="0017797C" w:rsidRPr="0017797C">
        <w:rPr>
          <w:rFonts w:ascii="Arial" w:hAnsi="Arial" w:cs="Arial"/>
          <w:color w:val="010000"/>
          <w:sz w:val="20"/>
        </w:rPr>
        <w:t>transfer</w:t>
      </w:r>
      <w:r w:rsidRPr="0017797C">
        <w:rPr>
          <w:rFonts w:ascii="Arial" w:hAnsi="Arial" w:cs="Arial"/>
          <w:color w:val="010000"/>
          <w:sz w:val="20"/>
        </w:rPr>
        <w:t xml:space="preserve"> fee. The time limit and procedures for transferring these rights will be </w:t>
      </w:r>
      <w:r w:rsidR="002761A3" w:rsidRPr="0017797C">
        <w:rPr>
          <w:rFonts w:ascii="Arial" w:hAnsi="Arial" w:cs="Arial"/>
          <w:color w:val="010000"/>
          <w:sz w:val="20"/>
        </w:rPr>
        <w:t>according to</w:t>
      </w:r>
      <w:r w:rsidRPr="0017797C">
        <w:rPr>
          <w:rFonts w:ascii="Arial" w:hAnsi="Arial" w:cs="Arial"/>
          <w:color w:val="010000"/>
          <w:sz w:val="20"/>
        </w:rPr>
        <w:t xml:space="preserve"> the Notice of VSDC (for deposited shareholders) and the Company (for non-deposited shareholders).</w:t>
      </w:r>
    </w:p>
    <w:p w:rsidR="0038017D" w:rsidRPr="0017797C" w:rsidRDefault="00A91C1F" w:rsidP="00DB32BF">
      <w:pPr>
        <w:keepNext/>
        <w:numPr>
          <w:ilvl w:val="0"/>
          <w:numId w:val="2"/>
        </w:numPr>
        <w:pBdr>
          <w:top w:val="nil"/>
          <w:left w:val="nil"/>
          <w:bottom w:val="nil"/>
          <w:right w:val="nil"/>
          <w:between w:val="nil"/>
        </w:pBdr>
        <w:tabs>
          <w:tab w:val="left" w:pos="432"/>
          <w:tab w:val="left" w:pos="956"/>
        </w:tabs>
        <w:spacing w:after="120" w:line="360" w:lineRule="auto"/>
        <w:jc w:val="both"/>
        <w:rPr>
          <w:rFonts w:ascii="Arial" w:eastAsia="Arial" w:hAnsi="Arial" w:cs="Arial"/>
          <w:color w:val="010000"/>
          <w:sz w:val="20"/>
          <w:szCs w:val="20"/>
        </w:rPr>
      </w:pPr>
      <w:r w:rsidRPr="0017797C">
        <w:rPr>
          <w:rFonts w:ascii="Arial" w:hAnsi="Arial" w:cs="Arial"/>
          <w:color w:val="010000"/>
          <w:sz w:val="20"/>
        </w:rPr>
        <w:t>Plan on rounding and handling fractional shares and remaining shares (if any):</w:t>
      </w:r>
    </w:p>
    <w:p w:rsidR="0038017D" w:rsidRPr="0017797C" w:rsidRDefault="00A91C1F" w:rsidP="00DB32BF">
      <w:pPr>
        <w:keepNext/>
        <w:numPr>
          <w:ilvl w:val="1"/>
          <w:numId w:val="4"/>
        </w:numPr>
        <w:pBdr>
          <w:top w:val="nil"/>
          <w:left w:val="nil"/>
          <w:bottom w:val="nil"/>
          <w:right w:val="nil"/>
          <w:between w:val="nil"/>
        </w:pBdr>
        <w:tabs>
          <w:tab w:val="left" w:pos="432"/>
          <w:tab w:val="left" w:pos="956"/>
        </w:tabs>
        <w:spacing w:after="120" w:line="360" w:lineRule="auto"/>
        <w:ind w:left="0" w:firstLine="0"/>
        <w:jc w:val="both"/>
        <w:rPr>
          <w:rFonts w:ascii="Arial" w:eastAsia="Arial" w:hAnsi="Arial" w:cs="Arial"/>
          <w:color w:val="010000"/>
          <w:sz w:val="20"/>
          <w:szCs w:val="20"/>
        </w:rPr>
      </w:pPr>
      <w:r w:rsidRPr="0017797C">
        <w:rPr>
          <w:rFonts w:ascii="Arial" w:hAnsi="Arial" w:cs="Arial"/>
          <w:color w:val="010000"/>
          <w:sz w:val="20"/>
        </w:rPr>
        <w:t xml:space="preserve">Plan on rounding and handling the arising fractional shares: The number of additional shares offered to existing shareholders will be rounded down to the unit, </w:t>
      </w:r>
      <w:r w:rsidR="002761A3" w:rsidRPr="0017797C">
        <w:rPr>
          <w:rFonts w:ascii="Arial" w:hAnsi="Arial" w:cs="Arial"/>
          <w:color w:val="010000"/>
          <w:sz w:val="20"/>
        </w:rPr>
        <w:t xml:space="preserve">and </w:t>
      </w:r>
      <w:r w:rsidRPr="0017797C">
        <w:rPr>
          <w:rFonts w:ascii="Arial" w:hAnsi="Arial" w:cs="Arial"/>
          <w:color w:val="010000"/>
          <w:sz w:val="20"/>
        </w:rPr>
        <w:t>the number of fractional shares (if any) will be rounded down to zero and will be canceled.</w:t>
      </w:r>
    </w:p>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For example: On the record date of the list of shareholders exercising rights, shareholder A owns 103 shares equivalent to 103 rights to purchase new shares. With the exercise rate of 3:2, shareholder A will have the right to buy 103 X 2/3 = 68.7 new shares. Thus, according to the principle of rounding down to the unit, shareholder A has the right to buy 68 shares.</w:t>
      </w:r>
    </w:p>
    <w:p w:rsidR="0038017D" w:rsidRPr="0017797C" w:rsidRDefault="00A91C1F" w:rsidP="00DB32BF">
      <w:pPr>
        <w:keepNext/>
        <w:numPr>
          <w:ilvl w:val="1"/>
          <w:numId w:val="4"/>
        </w:numPr>
        <w:pBdr>
          <w:top w:val="nil"/>
          <w:left w:val="nil"/>
          <w:bottom w:val="nil"/>
          <w:right w:val="nil"/>
          <w:between w:val="nil"/>
        </w:pBdr>
        <w:tabs>
          <w:tab w:val="left" w:pos="432"/>
          <w:tab w:val="left" w:pos="956"/>
        </w:tabs>
        <w:spacing w:after="120" w:line="360" w:lineRule="auto"/>
        <w:ind w:left="0" w:firstLine="0"/>
        <w:jc w:val="both"/>
        <w:rPr>
          <w:rFonts w:ascii="Arial" w:eastAsia="Arial" w:hAnsi="Arial" w:cs="Arial"/>
          <w:color w:val="010000"/>
          <w:sz w:val="20"/>
          <w:szCs w:val="20"/>
        </w:rPr>
      </w:pPr>
      <w:r w:rsidRPr="0017797C">
        <w:rPr>
          <w:rFonts w:ascii="Arial" w:hAnsi="Arial" w:cs="Arial"/>
          <w:color w:val="010000"/>
          <w:sz w:val="20"/>
        </w:rPr>
        <w:t xml:space="preserve"> Plan on handling fractional shares and remaining undistributed shares:</w:t>
      </w:r>
    </w:p>
    <w:p w:rsidR="0038017D" w:rsidRPr="0017797C" w:rsidRDefault="00A91C1F" w:rsidP="00DB32BF">
      <w:pPr>
        <w:numPr>
          <w:ilvl w:val="0"/>
          <w:numId w:val="10"/>
        </w:numPr>
        <w:pBdr>
          <w:top w:val="nil"/>
          <w:left w:val="nil"/>
          <w:bottom w:val="nil"/>
          <w:right w:val="nil"/>
          <w:between w:val="nil"/>
        </w:pBdr>
        <w:tabs>
          <w:tab w:val="left" w:pos="432"/>
          <w:tab w:val="left" w:pos="1079"/>
        </w:tabs>
        <w:spacing w:after="120" w:line="360" w:lineRule="auto"/>
        <w:jc w:val="both"/>
        <w:rPr>
          <w:rFonts w:ascii="Arial" w:eastAsia="Arial" w:hAnsi="Arial" w:cs="Arial"/>
          <w:color w:val="010000"/>
          <w:sz w:val="20"/>
          <w:szCs w:val="20"/>
        </w:rPr>
      </w:pPr>
      <w:r w:rsidRPr="0017797C">
        <w:rPr>
          <w:rFonts w:ascii="Arial" w:hAnsi="Arial" w:cs="Arial"/>
          <w:color w:val="010000"/>
          <w:sz w:val="20"/>
        </w:rPr>
        <w:t xml:space="preserve">For the number of shares offered to existing shareholders who have not registered to purchase all and/or refused the right to purchase, and/or are due to pay for shares but do not pay the purchase price and the number of fractional shares arising due to rounding, The Board of Directors will determine the subjects and quantity of distribution for further distribution at a selling price not lower than the offering price to existing shareholders. The number of shares offered above is restricted from transfer for at least 01 </w:t>
      </w:r>
      <w:proofErr w:type="gramStart"/>
      <w:r w:rsidRPr="0017797C">
        <w:rPr>
          <w:rFonts w:ascii="Arial" w:hAnsi="Arial" w:cs="Arial"/>
          <w:color w:val="010000"/>
          <w:sz w:val="20"/>
        </w:rPr>
        <w:t>year</w:t>
      </w:r>
      <w:proofErr w:type="gramEnd"/>
      <w:r w:rsidRPr="0017797C">
        <w:rPr>
          <w:rFonts w:ascii="Arial" w:hAnsi="Arial" w:cs="Arial"/>
          <w:color w:val="010000"/>
          <w:sz w:val="20"/>
        </w:rPr>
        <w:t xml:space="preserve"> from the date of completion of the offering.</w:t>
      </w:r>
    </w:p>
    <w:p w:rsidR="0038017D" w:rsidRPr="0017797C" w:rsidRDefault="00A91C1F" w:rsidP="00DB32BF">
      <w:pPr>
        <w:numPr>
          <w:ilvl w:val="0"/>
          <w:numId w:val="10"/>
        </w:numPr>
        <w:pBdr>
          <w:top w:val="nil"/>
          <w:left w:val="nil"/>
          <w:bottom w:val="nil"/>
          <w:right w:val="nil"/>
          <w:between w:val="nil"/>
        </w:pBdr>
        <w:tabs>
          <w:tab w:val="left" w:pos="432"/>
          <w:tab w:val="left" w:pos="1079"/>
        </w:tabs>
        <w:spacing w:after="120" w:line="360" w:lineRule="auto"/>
        <w:jc w:val="both"/>
        <w:rPr>
          <w:rFonts w:ascii="Arial" w:eastAsia="Arial" w:hAnsi="Arial" w:cs="Arial"/>
          <w:color w:val="010000"/>
          <w:sz w:val="20"/>
          <w:szCs w:val="20"/>
        </w:rPr>
      </w:pPr>
      <w:r w:rsidRPr="0017797C">
        <w:rPr>
          <w:rFonts w:ascii="Arial" w:hAnsi="Arial" w:cs="Arial"/>
          <w:color w:val="010000"/>
          <w:sz w:val="20"/>
        </w:rPr>
        <w:t>In case the subject selected by the Board of Directors to continue distributing shares is subject to a public offering, that subject is responsible for implementing the public offering procedures in accordance with the provisions of law.</w:t>
      </w:r>
    </w:p>
    <w:p w:rsidR="0038017D" w:rsidRPr="0017797C" w:rsidRDefault="00A91C1F" w:rsidP="00DB32BF">
      <w:pPr>
        <w:numPr>
          <w:ilvl w:val="0"/>
          <w:numId w:val="10"/>
        </w:numPr>
        <w:pBdr>
          <w:top w:val="nil"/>
          <w:left w:val="nil"/>
          <w:bottom w:val="nil"/>
          <w:right w:val="nil"/>
          <w:between w:val="nil"/>
        </w:pBdr>
        <w:tabs>
          <w:tab w:val="left" w:pos="432"/>
          <w:tab w:val="left" w:pos="1079"/>
        </w:tabs>
        <w:spacing w:after="120" w:line="360" w:lineRule="auto"/>
        <w:jc w:val="both"/>
        <w:rPr>
          <w:rFonts w:ascii="Arial" w:eastAsia="Arial" w:hAnsi="Arial" w:cs="Arial"/>
          <w:color w:val="010000"/>
          <w:sz w:val="20"/>
          <w:szCs w:val="20"/>
        </w:rPr>
      </w:pPr>
      <w:r w:rsidRPr="0017797C">
        <w:rPr>
          <w:rFonts w:ascii="Arial" w:hAnsi="Arial" w:cs="Arial"/>
          <w:color w:val="010000"/>
          <w:sz w:val="20"/>
        </w:rPr>
        <w:lastRenderedPageBreak/>
        <w:t>The handling of remaining shares ensures other conditions as prescribed in Article 42 of Decree 155/2020/ND-CP dated December 31, 2020 and ensures other conditions in accordance with current provisions of law.</w:t>
      </w:r>
    </w:p>
    <w:p w:rsidR="0038017D" w:rsidRPr="0017797C" w:rsidRDefault="00A91C1F" w:rsidP="00DB32BF">
      <w:pPr>
        <w:numPr>
          <w:ilvl w:val="0"/>
          <w:numId w:val="10"/>
        </w:numPr>
        <w:pBdr>
          <w:top w:val="nil"/>
          <w:left w:val="nil"/>
          <w:bottom w:val="nil"/>
          <w:right w:val="nil"/>
          <w:between w:val="nil"/>
        </w:pBdr>
        <w:tabs>
          <w:tab w:val="left" w:pos="432"/>
          <w:tab w:val="left" w:pos="1079"/>
        </w:tabs>
        <w:spacing w:after="120" w:line="360" w:lineRule="auto"/>
        <w:jc w:val="both"/>
        <w:rPr>
          <w:rFonts w:ascii="Arial" w:eastAsia="Arial" w:hAnsi="Arial" w:cs="Arial"/>
          <w:color w:val="010000"/>
          <w:sz w:val="20"/>
          <w:szCs w:val="20"/>
        </w:rPr>
      </w:pPr>
      <w:r w:rsidRPr="0017797C">
        <w:rPr>
          <w:rFonts w:ascii="Arial" w:hAnsi="Arial" w:cs="Arial"/>
          <w:color w:val="010000"/>
          <w:sz w:val="20"/>
        </w:rPr>
        <w:t>Ensure not to distribute shares to subsidiaries or subsidiaries within the same holding company as prescribed in Clause 2, Article 195 of the Law on Enterprises 2020 No. 59/2020/QH14.</w:t>
      </w:r>
    </w:p>
    <w:p w:rsidR="0038017D" w:rsidRPr="0017797C" w:rsidRDefault="00A91C1F" w:rsidP="00DB32BF">
      <w:pPr>
        <w:numPr>
          <w:ilvl w:val="0"/>
          <w:numId w:val="10"/>
        </w:numPr>
        <w:pBdr>
          <w:top w:val="nil"/>
          <w:left w:val="nil"/>
          <w:bottom w:val="nil"/>
          <w:right w:val="nil"/>
          <w:between w:val="nil"/>
        </w:pBdr>
        <w:tabs>
          <w:tab w:val="left" w:pos="432"/>
          <w:tab w:val="left" w:pos="1079"/>
        </w:tabs>
        <w:spacing w:after="120" w:line="360" w:lineRule="auto"/>
        <w:jc w:val="both"/>
        <w:rPr>
          <w:rFonts w:ascii="Arial" w:eastAsia="Arial" w:hAnsi="Arial" w:cs="Arial"/>
          <w:color w:val="010000"/>
          <w:sz w:val="20"/>
          <w:szCs w:val="20"/>
        </w:rPr>
      </w:pPr>
      <w:r w:rsidRPr="0017797C">
        <w:rPr>
          <w:rFonts w:ascii="Arial" w:hAnsi="Arial" w:cs="Arial"/>
          <w:color w:val="010000"/>
          <w:sz w:val="20"/>
        </w:rPr>
        <w:t>In case of the expiration of the share distribution in accordance with the provisions of law (including the extended period, if any), if there are remaining undistributed shares, these shares will be canceled and the Board of Directors will decide on closing the offering.</w:t>
      </w:r>
    </w:p>
    <w:p w:rsidR="0038017D" w:rsidRPr="0017797C" w:rsidRDefault="00A91C1F" w:rsidP="00DB32BF">
      <w:pPr>
        <w:keepNext/>
        <w:numPr>
          <w:ilvl w:val="0"/>
          <w:numId w:val="2"/>
        </w:numPr>
        <w:pBdr>
          <w:top w:val="nil"/>
          <w:left w:val="nil"/>
          <w:bottom w:val="nil"/>
          <w:right w:val="nil"/>
          <w:between w:val="nil"/>
        </w:pBdr>
        <w:tabs>
          <w:tab w:val="left" w:pos="432"/>
          <w:tab w:val="left" w:pos="910"/>
        </w:tabs>
        <w:spacing w:after="120" w:line="360" w:lineRule="auto"/>
        <w:jc w:val="both"/>
        <w:rPr>
          <w:rFonts w:ascii="Arial" w:eastAsia="Arial" w:hAnsi="Arial" w:cs="Arial"/>
          <w:color w:val="010000"/>
          <w:sz w:val="20"/>
          <w:szCs w:val="20"/>
        </w:rPr>
      </w:pPr>
      <w:r w:rsidRPr="0017797C">
        <w:rPr>
          <w:rFonts w:ascii="Arial" w:hAnsi="Arial" w:cs="Arial"/>
          <w:color w:val="010000"/>
          <w:sz w:val="20"/>
        </w:rPr>
        <w:t>Transfer restrictions:</w:t>
      </w:r>
    </w:p>
    <w:p w:rsidR="0038017D" w:rsidRPr="0017797C" w:rsidRDefault="00A91C1F" w:rsidP="00DB32BF">
      <w:pPr>
        <w:numPr>
          <w:ilvl w:val="0"/>
          <w:numId w:val="10"/>
        </w:numPr>
        <w:pBdr>
          <w:top w:val="nil"/>
          <w:left w:val="nil"/>
          <w:bottom w:val="nil"/>
          <w:right w:val="nil"/>
          <w:between w:val="nil"/>
        </w:pBdr>
        <w:tabs>
          <w:tab w:val="left" w:pos="432"/>
          <w:tab w:val="left" w:pos="1079"/>
        </w:tabs>
        <w:spacing w:after="120" w:line="360" w:lineRule="auto"/>
        <w:jc w:val="both"/>
        <w:rPr>
          <w:rFonts w:ascii="Arial" w:eastAsia="Arial" w:hAnsi="Arial" w:cs="Arial"/>
          <w:color w:val="010000"/>
          <w:sz w:val="20"/>
          <w:szCs w:val="20"/>
        </w:rPr>
      </w:pPr>
      <w:r w:rsidRPr="0017797C">
        <w:rPr>
          <w:rFonts w:ascii="Arial" w:hAnsi="Arial" w:cs="Arial"/>
          <w:color w:val="010000"/>
          <w:sz w:val="20"/>
        </w:rPr>
        <w:t>Shares purchased by existing shareholders according to the right to purchase or shares purchased by investors due to the exercise of the right to buy purchased shares from existing shareholders are freely transferable.</w:t>
      </w:r>
    </w:p>
    <w:p w:rsidR="0038017D" w:rsidRPr="0017797C" w:rsidRDefault="00A91C1F" w:rsidP="00DB32BF">
      <w:pPr>
        <w:numPr>
          <w:ilvl w:val="0"/>
          <w:numId w:val="10"/>
        </w:numPr>
        <w:pBdr>
          <w:top w:val="nil"/>
          <w:left w:val="nil"/>
          <w:bottom w:val="nil"/>
          <w:right w:val="nil"/>
          <w:between w:val="nil"/>
        </w:pBdr>
        <w:tabs>
          <w:tab w:val="left" w:pos="432"/>
          <w:tab w:val="left" w:pos="1079"/>
        </w:tabs>
        <w:spacing w:after="120" w:line="360" w:lineRule="auto"/>
        <w:jc w:val="both"/>
        <w:rPr>
          <w:rFonts w:ascii="Arial" w:eastAsia="Arial" w:hAnsi="Arial" w:cs="Arial"/>
          <w:color w:val="010000"/>
          <w:sz w:val="20"/>
          <w:szCs w:val="20"/>
        </w:rPr>
      </w:pPr>
      <w:r w:rsidRPr="0017797C">
        <w:rPr>
          <w:rFonts w:ascii="Arial" w:hAnsi="Arial" w:cs="Arial"/>
          <w:color w:val="010000"/>
          <w:sz w:val="20"/>
        </w:rPr>
        <w:t>Shareholders in a state of transfer restrictions still receive the right to purchase shares, the number of additional shares purchased from this purchase right is not subject to transfer restrictions.</w:t>
      </w:r>
    </w:p>
    <w:p w:rsidR="0038017D" w:rsidRPr="0017797C" w:rsidRDefault="00A91C1F" w:rsidP="00DB32BF">
      <w:pPr>
        <w:numPr>
          <w:ilvl w:val="0"/>
          <w:numId w:val="10"/>
        </w:numPr>
        <w:pBdr>
          <w:top w:val="nil"/>
          <w:left w:val="nil"/>
          <w:bottom w:val="nil"/>
          <w:right w:val="nil"/>
          <w:between w:val="nil"/>
        </w:pBdr>
        <w:tabs>
          <w:tab w:val="left" w:pos="432"/>
          <w:tab w:val="left" w:pos="1079"/>
        </w:tabs>
        <w:spacing w:after="120" w:line="360" w:lineRule="auto"/>
        <w:jc w:val="both"/>
        <w:rPr>
          <w:rFonts w:ascii="Arial" w:eastAsia="Arial" w:hAnsi="Arial" w:cs="Arial"/>
          <w:color w:val="010000"/>
          <w:sz w:val="20"/>
          <w:szCs w:val="20"/>
        </w:rPr>
      </w:pPr>
      <w:r w:rsidRPr="0017797C">
        <w:rPr>
          <w:rFonts w:ascii="Arial" w:hAnsi="Arial" w:cs="Arial"/>
          <w:color w:val="010000"/>
          <w:sz w:val="20"/>
        </w:rPr>
        <w:t xml:space="preserve">Shares that shareholders do not register to purchase or pay for are redistributed by the Board of Directors to other investors and are restricted from transfer for at least 01 </w:t>
      </w:r>
      <w:proofErr w:type="gramStart"/>
      <w:r w:rsidRPr="0017797C">
        <w:rPr>
          <w:rFonts w:ascii="Arial" w:hAnsi="Arial" w:cs="Arial"/>
          <w:color w:val="010000"/>
          <w:sz w:val="20"/>
        </w:rPr>
        <w:t>year</w:t>
      </w:r>
      <w:proofErr w:type="gramEnd"/>
      <w:r w:rsidRPr="0017797C">
        <w:rPr>
          <w:rFonts w:ascii="Arial" w:hAnsi="Arial" w:cs="Arial"/>
          <w:color w:val="010000"/>
          <w:sz w:val="20"/>
        </w:rPr>
        <w:t xml:space="preserve"> from the date of completion of the offering.</w:t>
      </w:r>
    </w:p>
    <w:p w:rsidR="0038017D" w:rsidRPr="0017797C" w:rsidRDefault="00A91C1F" w:rsidP="00DB32BF">
      <w:pPr>
        <w:keepNext/>
        <w:numPr>
          <w:ilvl w:val="0"/>
          <w:numId w:val="2"/>
        </w:numPr>
        <w:pBdr>
          <w:top w:val="nil"/>
          <w:left w:val="nil"/>
          <w:bottom w:val="nil"/>
          <w:right w:val="nil"/>
          <w:between w:val="nil"/>
        </w:pBdr>
        <w:tabs>
          <w:tab w:val="left" w:pos="432"/>
          <w:tab w:val="left" w:pos="873"/>
        </w:tabs>
        <w:spacing w:after="120" w:line="360" w:lineRule="auto"/>
        <w:jc w:val="both"/>
        <w:rPr>
          <w:rFonts w:ascii="Arial" w:eastAsia="Arial" w:hAnsi="Arial" w:cs="Arial"/>
          <w:color w:val="010000"/>
          <w:sz w:val="20"/>
          <w:szCs w:val="20"/>
        </w:rPr>
      </w:pPr>
      <w:r w:rsidRPr="0017797C">
        <w:rPr>
          <w:rFonts w:ascii="Arial" w:hAnsi="Arial" w:cs="Arial"/>
          <w:color w:val="010000"/>
          <w:sz w:val="20"/>
        </w:rPr>
        <w:t>Offering purposes:</w:t>
      </w:r>
    </w:p>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The entire amount from this offering will be used to supplement investment capital for ship No. 05 carrying oil products/chemicals with a tonnage of about 19,000 - 25,000 DWT and repay bank loans.</w:t>
      </w:r>
    </w:p>
    <w:p w:rsidR="0038017D" w:rsidRPr="0017797C" w:rsidRDefault="00A91C1F" w:rsidP="00DB32BF">
      <w:pPr>
        <w:numPr>
          <w:ilvl w:val="0"/>
          <w:numId w:val="2"/>
        </w:numPr>
        <w:pBdr>
          <w:top w:val="nil"/>
          <w:left w:val="nil"/>
          <w:bottom w:val="nil"/>
          <w:right w:val="nil"/>
          <w:between w:val="nil"/>
        </w:pBdr>
        <w:tabs>
          <w:tab w:val="left" w:pos="432"/>
          <w:tab w:val="left" w:pos="999"/>
        </w:tabs>
        <w:spacing w:after="120" w:line="360" w:lineRule="auto"/>
        <w:jc w:val="both"/>
        <w:rPr>
          <w:rFonts w:ascii="Arial" w:eastAsia="Arial" w:hAnsi="Arial" w:cs="Arial"/>
          <w:color w:val="010000"/>
          <w:sz w:val="20"/>
          <w:szCs w:val="20"/>
        </w:rPr>
      </w:pPr>
      <w:r w:rsidRPr="0017797C">
        <w:rPr>
          <w:rFonts w:ascii="Arial" w:hAnsi="Arial" w:cs="Arial"/>
          <w:color w:val="010000"/>
          <w:sz w:val="20"/>
        </w:rPr>
        <w:t>Minimum successful offering rate: Not regulated.</w:t>
      </w:r>
    </w:p>
    <w:p w:rsidR="0038017D" w:rsidRPr="0017797C" w:rsidRDefault="00A91C1F" w:rsidP="00DB32BF">
      <w:pPr>
        <w:numPr>
          <w:ilvl w:val="0"/>
          <w:numId w:val="2"/>
        </w:numPr>
        <w:pBdr>
          <w:top w:val="nil"/>
          <w:left w:val="nil"/>
          <w:bottom w:val="nil"/>
          <w:right w:val="nil"/>
          <w:between w:val="nil"/>
        </w:pBdr>
        <w:tabs>
          <w:tab w:val="left" w:pos="432"/>
          <w:tab w:val="left" w:pos="999"/>
        </w:tabs>
        <w:spacing w:after="120" w:line="360" w:lineRule="auto"/>
        <w:jc w:val="both"/>
        <w:rPr>
          <w:rFonts w:ascii="Arial" w:eastAsia="Arial" w:hAnsi="Arial" w:cs="Arial"/>
          <w:color w:val="010000"/>
          <w:sz w:val="20"/>
          <w:szCs w:val="20"/>
        </w:rPr>
      </w:pPr>
      <w:r w:rsidRPr="0017797C">
        <w:rPr>
          <w:rFonts w:ascii="Arial" w:hAnsi="Arial" w:cs="Arial"/>
          <w:color w:val="010000"/>
          <w:sz w:val="20"/>
        </w:rPr>
        <w:t>Additional registration and listing of additional shares: Additional shares issued by the Company will be additionally registered at the Vietnam Securities Depository and Clearing Corporation and additionally registered for listing at the Hanoi Stock Exchange in accordance with the provisions of law.</w:t>
      </w:r>
    </w:p>
    <w:p w:rsidR="0038017D" w:rsidRPr="0017797C" w:rsidRDefault="00A91C1F" w:rsidP="00DB32BF">
      <w:pPr>
        <w:keepNext/>
        <w:numPr>
          <w:ilvl w:val="0"/>
          <w:numId w:val="3"/>
        </w:numPr>
        <w:pBdr>
          <w:top w:val="nil"/>
          <w:left w:val="nil"/>
          <w:bottom w:val="nil"/>
          <w:right w:val="nil"/>
          <w:between w:val="nil"/>
        </w:pBdr>
        <w:tabs>
          <w:tab w:val="left" w:pos="432"/>
          <w:tab w:val="left" w:pos="576"/>
        </w:tabs>
        <w:spacing w:after="120" w:line="360" w:lineRule="auto"/>
        <w:jc w:val="both"/>
        <w:rPr>
          <w:rFonts w:ascii="Arial" w:eastAsia="Arial" w:hAnsi="Arial" w:cs="Arial"/>
          <w:color w:val="010000"/>
          <w:sz w:val="20"/>
          <w:szCs w:val="20"/>
        </w:rPr>
      </w:pPr>
      <w:r w:rsidRPr="0017797C">
        <w:rPr>
          <w:rFonts w:ascii="Arial" w:hAnsi="Arial" w:cs="Arial"/>
          <w:color w:val="010000"/>
          <w:sz w:val="20"/>
        </w:rPr>
        <w:t xml:space="preserve">PLAN </w:t>
      </w:r>
      <w:r w:rsidR="0017797C" w:rsidRPr="0017797C">
        <w:rPr>
          <w:rFonts w:ascii="Arial" w:hAnsi="Arial" w:cs="Arial"/>
          <w:color w:val="010000"/>
          <w:sz w:val="20"/>
        </w:rPr>
        <w:t xml:space="preserve">ON </w:t>
      </w:r>
      <w:r w:rsidRPr="0017797C">
        <w:rPr>
          <w:rFonts w:ascii="Arial" w:hAnsi="Arial" w:cs="Arial"/>
          <w:color w:val="010000"/>
          <w:sz w:val="20"/>
        </w:rPr>
        <w:t>USING CAPITAL OBTAINED FROM THE OFFERING</w:t>
      </w:r>
    </w:p>
    <w:p w:rsidR="0038017D" w:rsidRPr="0017797C" w:rsidRDefault="00A91C1F" w:rsidP="00DB32BF">
      <w:pPr>
        <w:keepNext/>
        <w:numPr>
          <w:ilvl w:val="0"/>
          <w:numId w:val="10"/>
        </w:numPr>
        <w:pBdr>
          <w:top w:val="nil"/>
          <w:left w:val="nil"/>
          <w:bottom w:val="nil"/>
          <w:right w:val="nil"/>
          <w:between w:val="nil"/>
        </w:pBdr>
        <w:tabs>
          <w:tab w:val="left" w:pos="432"/>
          <w:tab w:val="left" w:pos="576"/>
        </w:tabs>
        <w:spacing w:after="120" w:line="360" w:lineRule="auto"/>
        <w:jc w:val="both"/>
        <w:rPr>
          <w:rFonts w:ascii="Arial" w:eastAsia="Arial" w:hAnsi="Arial" w:cs="Arial"/>
          <w:color w:val="010000"/>
          <w:sz w:val="20"/>
          <w:szCs w:val="20"/>
        </w:rPr>
      </w:pPr>
      <w:r w:rsidRPr="0017797C">
        <w:rPr>
          <w:rFonts w:ascii="Arial" w:hAnsi="Arial" w:cs="Arial"/>
          <w:color w:val="010000"/>
          <w:sz w:val="20"/>
        </w:rPr>
        <w:t>The entire expected amount from the share offering of VND 333,569,950</w:t>
      </w:r>
      <w:r w:rsidR="0017797C" w:rsidRPr="0017797C">
        <w:rPr>
          <w:rFonts w:ascii="Arial" w:hAnsi="Arial" w:cs="Arial"/>
          <w:color w:val="010000"/>
          <w:sz w:val="20"/>
        </w:rPr>
        <w:t>,000</w:t>
      </w:r>
      <w:r w:rsidRPr="0017797C">
        <w:rPr>
          <w:rFonts w:ascii="Arial" w:hAnsi="Arial" w:cs="Arial"/>
          <w:color w:val="010000"/>
          <w:sz w:val="20"/>
        </w:rPr>
        <w:t xml:space="preserve"> will be used to supplement investment capital for ship No. 05 carrying oil products/chemical tanker tonnage of about 19,000 - 25,000 DWT and repay bank loans.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9"/>
        <w:gridCol w:w="4898"/>
        <w:gridCol w:w="1769"/>
        <w:gridCol w:w="1791"/>
      </w:tblGrid>
      <w:tr w:rsidR="0038017D" w:rsidRPr="0017797C" w:rsidTr="0020482F">
        <w:tc>
          <w:tcPr>
            <w:tcW w:w="310" w:type="pct"/>
            <w:shd w:val="clear" w:color="auto" w:fill="auto"/>
            <w:tcMar>
              <w:top w:w="0" w:type="dxa"/>
              <w:bottom w:w="0" w:type="dxa"/>
            </w:tcMar>
            <w:vAlign w:val="center"/>
          </w:tcPr>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No.</w:t>
            </w:r>
          </w:p>
        </w:tc>
        <w:tc>
          <w:tcPr>
            <w:tcW w:w="2716" w:type="pct"/>
            <w:shd w:val="clear" w:color="auto" w:fill="auto"/>
            <w:tcMar>
              <w:top w:w="0" w:type="dxa"/>
              <w:bottom w:w="0" w:type="dxa"/>
            </w:tcMar>
            <w:vAlign w:val="center"/>
          </w:tcPr>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Capital use purposes</w:t>
            </w:r>
          </w:p>
        </w:tc>
        <w:tc>
          <w:tcPr>
            <w:tcW w:w="981" w:type="pct"/>
            <w:shd w:val="clear" w:color="auto" w:fill="auto"/>
            <w:tcMar>
              <w:top w:w="0" w:type="dxa"/>
              <w:bottom w:w="0" w:type="dxa"/>
            </w:tcMar>
            <w:vAlign w:val="center"/>
          </w:tcPr>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Disbursement amount (VND)</w:t>
            </w:r>
          </w:p>
        </w:tc>
        <w:tc>
          <w:tcPr>
            <w:tcW w:w="993" w:type="pct"/>
            <w:shd w:val="clear" w:color="auto" w:fill="auto"/>
            <w:tcMar>
              <w:top w:w="0" w:type="dxa"/>
              <w:bottom w:w="0" w:type="dxa"/>
            </w:tcMar>
            <w:vAlign w:val="center"/>
          </w:tcPr>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Expected disbursement schedule time</w:t>
            </w:r>
          </w:p>
        </w:tc>
      </w:tr>
      <w:tr w:rsidR="0038017D" w:rsidRPr="0017797C" w:rsidTr="0020482F">
        <w:tc>
          <w:tcPr>
            <w:tcW w:w="310" w:type="pct"/>
            <w:shd w:val="clear" w:color="auto" w:fill="auto"/>
            <w:tcMar>
              <w:top w:w="0" w:type="dxa"/>
              <w:bottom w:w="0" w:type="dxa"/>
            </w:tcMar>
            <w:vAlign w:val="center"/>
          </w:tcPr>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1</w:t>
            </w:r>
          </w:p>
        </w:tc>
        <w:tc>
          <w:tcPr>
            <w:tcW w:w="2716" w:type="pct"/>
            <w:shd w:val="clear" w:color="auto" w:fill="auto"/>
            <w:tcMar>
              <w:top w:w="0" w:type="dxa"/>
              <w:bottom w:w="0" w:type="dxa"/>
            </w:tcMar>
            <w:vAlign w:val="center"/>
          </w:tcPr>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Supplement investment capital for ship No. 05 carrying oil products/chemicals with tonnage of about 19,000 - 25,000 DWT</w:t>
            </w:r>
          </w:p>
        </w:tc>
        <w:tc>
          <w:tcPr>
            <w:tcW w:w="981" w:type="pct"/>
            <w:shd w:val="clear" w:color="auto" w:fill="auto"/>
            <w:tcMar>
              <w:top w:w="0" w:type="dxa"/>
              <w:bottom w:w="0" w:type="dxa"/>
            </w:tcMar>
            <w:vAlign w:val="center"/>
          </w:tcPr>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293,862,000,000</w:t>
            </w:r>
          </w:p>
        </w:tc>
        <w:tc>
          <w:tcPr>
            <w:tcW w:w="993" w:type="pct"/>
            <w:shd w:val="clear" w:color="auto" w:fill="auto"/>
            <w:tcMar>
              <w:top w:w="0" w:type="dxa"/>
              <w:bottom w:w="0" w:type="dxa"/>
            </w:tcMar>
            <w:vAlign w:val="center"/>
          </w:tcPr>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From Q3/2024</w:t>
            </w:r>
          </w:p>
        </w:tc>
      </w:tr>
      <w:tr w:rsidR="0038017D" w:rsidRPr="0017797C" w:rsidTr="0020482F">
        <w:tc>
          <w:tcPr>
            <w:tcW w:w="310" w:type="pct"/>
            <w:shd w:val="clear" w:color="auto" w:fill="auto"/>
            <w:tcMar>
              <w:top w:w="0" w:type="dxa"/>
              <w:bottom w:w="0" w:type="dxa"/>
            </w:tcMar>
            <w:vAlign w:val="center"/>
          </w:tcPr>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lastRenderedPageBreak/>
              <w:t>2</w:t>
            </w:r>
          </w:p>
        </w:tc>
        <w:tc>
          <w:tcPr>
            <w:tcW w:w="2716" w:type="pct"/>
            <w:shd w:val="clear" w:color="auto" w:fill="auto"/>
            <w:tcMar>
              <w:top w:w="0" w:type="dxa"/>
              <w:bottom w:w="0" w:type="dxa"/>
            </w:tcMar>
            <w:vAlign w:val="center"/>
          </w:tcPr>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Pay off loans from banks</w:t>
            </w:r>
          </w:p>
        </w:tc>
        <w:tc>
          <w:tcPr>
            <w:tcW w:w="981" w:type="pct"/>
            <w:shd w:val="clear" w:color="auto" w:fill="auto"/>
            <w:tcMar>
              <w:top w:w="0" w:type="dxa"/>
              <w:bottom w:w="0" w:type="dxa"/>
            </w:tcMar>
            <w:vAlign w:val="center"/>
          </w:tcPr>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39,707,950,000</w:t>
            </w:r>
          </w:p>
        </w:tc>
        <w:tc>
          <w:tcPr>
            <w:tcW w:w="993" w:type="pct"/>
            <w:shd w:val="clear" w:color="auto" w:fill="auto"/>
            <w:tcMar>
              <w:top w:w="0" w:type="dxa"/>
              <w:bottom w:w="0" w:type="dxa"/>
            </w:tcMar>
            <w:vAlign w:val="center"/>
          </w:tcPr>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From Q3/2024</w:t>
            </w:r>
          </w:p>
        </w:tc>
      </w:tr>
      <w:tr w:rsidR="0038017D" w:rsidRPr="0017797C" w:rsidTr="0020482F">
        <w:tc>
          <w:tcPr>
            <w:tcW w:w="3026" w:type="pct"/>
            <w:gridSpan w:val="2"/>
            <w:shd w:val="clear" w:color="auto" w:fill="auto"/>
            <w:tcMar>
              <w:top w:w="0" w:type="dxa"/>
              <w:bottom w:w="0" w:type="dxa"/>
            </w:tcMar>
            <w:vAlign w:val="center"/>
          </w:tcPr>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Total</w:t>
            </w:r>
          </w:p>
        </w:tc>
        <w:tc>
          <w:tcPr>
            <w:tcW w:w="981" w:type="pct"/>
            <w:shd w:val="clear" w:color="auto" w:fill="auto"/>
            <w:tcMar>
              <w:top w:w="0" w:type="dxa"/>
              <w:bottom w:w="0" w:type="dxa"/>
            </w:tcMar>
            <w:vAlign w:val="center"/>
          </w:tcPr>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333,569,960,000</w:t>
            </w:r>
          </w:p>
        </w:tc>
        <w:tc>
          <w:tcPr>
            <w:tcW w:w="993" w:type="pct"/>
            <w:shd w:val="clear" w:color="auto" w:fill="auto"/>
            <w:tcMar>
              <w:top w:w="0" w:type="dxa"/>
              <w:bottom w:w="0" w:type="dxa"/>
            </w:tcMar>
            <w:vAlign w:val="center"/>
          </w:tcPr>
          <w:p w:rsidR="0038017D" w:rsidRPr="0017797C" w:rsidRDefault="0038017D" w:rsidP="00DB32BF">
            <w:pPr>
              <w:tabs>
                <w:tab w:val="left" w:pos="432"/>
              </w:tabs>
              <w:spacing w:after="120" w:line="360" w:lineRule="auto"/>
              <w:jc w:val="both"/>
              <w:rPr>
                <w:rFonts w:ascii="Arial" w:eastAsia="Arial" w:hAnsi="Arial" w:cs="Arial"/>
                <w:color w:val="010000"/>
                <w:sz w:val="20"/>
                <w:szCs w:val="20"/>
              </w:rPr>
            </w:pPr>
          </w:p>
        </w:tc>
      </w:tr>
    </w:tbl>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In case that at the end of the offering period according to regulations, the Company does not offer all shares as registered, the amount of money collected from the offering is not enough as expected, to implement the purposes approved by the General Meeting of Shareholders. The General Meeting of Shareholders approved that, depending on the actual situation, the General Meeting of Shareholders authorized the Board of Directors to implement the following solutions:</w:t>
      </w:r>
    </w:p>
    <w:p w:rsidR="0038017D" w:rsidRPr="0017797C" w:rsidRDefault="00A91C1F" w:rsidP="00DB32BF">
      <w:pPr>
        <w:numPr>
          <w:ilvl w:val="0"/>
          <w:numId w:val="1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7797C">
        <w:rPr>
          <w:rFonts w:ascii="Arial" w:hAnsi="Arial" w:cs="Arial"/>
          <w:color w:val="010000"/>
          <w:sz w:val="20"/>
        </w:rPr>
        <w:t xml:space="preserve">Ask for </w:t>
      </w:r>
      <w:r w:rsidR="002761A3" w:rsidRPr="0017797C">
        <w:rPr>
          <w:rFonts w:ascii="Arial" w:hAnsi="Arial" w:cs="Arial"/>
          <w:color w:val="010000"/>
          <w:sz w:val="20"/>
        </w:rPr>
        <w:t xml:space="preserve">an </w:t>
      </w:r>
      <w:r w:rsidRPr="0017797C">
        <w:rPr>
          <w:rFonts w:ascii="Arial" w:hAnsi="Arial" w:cs="Arial"/>
          <w:color w:val="010000"/>
          <w:sz w:val="20"/>
        </w:rPr>
        <w:t>extension for the offering period to continue offering the remaining shares to ensure compliance with the law.</w:t>
      </w:r>
    </w:p>
    <w:p w:rsidR="0038017D" w:rsidRPr="0017797C" w:rsidRDefault="00A91C1F" w:rsidP="00DB32BF">
      <w:pPr>
        <w:numPr>
          <w:ilvl w:val="0"/>
          <w:numId w:val="1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7797C">
        <w:rPr>
          <w:rFonts w:ascii="Arial" w:hAnsi="Arial" w:cs="Arial"/>
          <w:color w:val="010000"/>
          <w:sz w:val="20"/>
        </w:rPr>
        <w:t>Supplement missing capital through other forms such as bank loans, issuance of corporate bonds, and other solutions in accordance with the provisions of law and internal regulations of t</w:t>
      </w:r>
      <w:r w:rsidR="002761A3" w:rsidRPr="0017797C">
        <w:rPr>
          <w:rFonts w:ascii="Arial" w:hAnsi="Arial" w:cs="Arial"/>
          <w:color w:val="010000"/>
          <w:sz w:val="20"/>
        </w:rPr>
        <w:t>he Company to carry out the plan</w:t>
      </w:r>
      <w:r w:rsidRPr="0017797C">
        <w:rPr>
          <w:rFonts w:ascii="Arial" w:hAnsi="Arial" w:cs="Arial"/>
          <w:color w:val="010000"/>
          <w:sz w:val="20"/>
        </w:rPr>
        <w:t>.</w:t>
      </w:r>
    </w:p>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 xml:space="preserve">In case the amount from the offering after processing </w:t>
      </w:r>
      <w:r w:rsidR="002761A3" w:rsidRPr="0017797C">
        <w:rPr>
          <w:rFonts w:ascii="Arial" w:hAnsi="Arial" w:cs="Arial"/>
          <w:color w:val="010000"/>
          <w:sz w:val="20"/>
        </w:rPr>
        <w:t>is</w:t>
      </w:r>
      <w:r w:rsidRPr="0017797C">
        <w:rPr>
          <w:rFonts w:ascii="Arial" w:hAnsi="Arial" w:cs="Arial"/>
          <w:color w:val="010000"/>
          <w:sz w:val="20"/>
        </w:rPr>
        <w:t xml:space="preserve"> still not enough to use for all of the above purposes, the Company will prioritize the use of capital obtained from the offering in the following order:</w:t>
      </w:r>
    </w:p>
    <w:p w:rsidR="0038017D" w:rsidRPr="0017797C" w:rsidRDefault="00A91C1F" w:rsidP="00DB32BF">
      <w:pPr>
        <w:numPr>
          <w:ilvl w:val="0"/>
          <w:numId w:val="5"/>
        </w:numPr>
        <w:pBdr>
          <w:top w:val="nil"/>
          <w:left w:val="nil"/>
          <w:bottom w:val="nil"/>
          <w:right w:val="nil"/>
          <w:between w:val="nil"/>
        </w:pBdr>
        <w:tabs>
          <w:tab w:val="left" w:pos="432"/>
          <w:tab w:val="left" w:pos="1136"/>
        </w:tabs>
        <w:spacing w:after="120" w:line="360" w:lineRule="auto"/>
        <w:jc w:val="both"/>
        <w:rPr>
          <w:rFonts w:ascii="Arial" w:eastAsia="Arial" w:hAnsi="Arial" w:cs="Arial"/>
          <w:color w:val="010000"/>
          <w:sz w:val="20"/>
          <w:szCs w:val="20"/>
        </w:rPr>
      </w:pPr>
      <w:r w:rsidRPr="0017797C">
        <w:rPr>
          <w:rFonts w:ascii="Arial" w:hAnsi="Arial" w:cs="Arial"/>
          <w:color w:val="010000"/>
          <w:sz w:val="20"/>
        </w:rPr>
        <w:t>Additional investment capital for ship No. 05 carrying oil products/chemicals with a tonnage of about 19,000 - 25,000 DWT.</w:t>
      </w:r>
    </w:p>
    <w:p w:rsidR="0038017D" w:rsidRPr="0017797C" w:rsidRDefault="00A91C1F" w:rsidP="00DB32BF">
      <w:pPr>
        <w:numPr>
          <w:ilvl w:val="0"/>
          <w:numId w:val="5"/>
        </w:numPr>
        <w:pBdr>
          <w:top w:val="nil"/>
          <w:left w:val="nil"/>
          <w:bottom w:val="nil"/>
          <w:right w:val="nil"/>
          <w:between w:val="nil"/>
        </w:pBdr>
        <w:tabs>
          <w:tab w:val="left" w:pos="432"/>
          <w:tab w:val="left" w:pos="1081"/>
        </w:tabs>
        <w:spacing w:after="120" w:line="360" w:lineRule="auto"/>
        <w:jc w:val="both"/>
        <w:rPr>
          <w:rFonts w:ascii="Arial" w:eastAsia="Arial" w:hAnsi="Arial" w:cs="Arial"/>
          <w:color w:val="010000"/>
          <w:sz w:val="20"/>
          <w:szCs w:val="20"/>
        </w:rPr>
      </w:pPr>
      <w:r w:rsidRPr="0017797C">
        <w:rPr>
          <w:rFonts w:ascii="Arial" w:hAnsi="Arial" w:cs="Arial"/>
          <w:color w:val="010000"/>
          <w:sz w:val="20"/>
        </w:rPr>
        <w:t>Pay off loans from banks.</w:t>
      </w:r>
    </w:p>
    <w:p w:rsidR="0038017D" w:rsidRPr="0017797C" w:rsidRDefault="00A91C1F" w:rsidP="00DB32BF">
      <w:pPr>
        <w:numPr>
          <w:ilvl w:val="0"/>
          <w:numId w:val="11"/>
        </w:numPr>
        <w:pBdr>
          <w:top w:val="nil"/>
          <w:left w:val="nil"/>
          <w:bottom w:val="nil"/>
          <w:right w:val="nil"/>
          <w:between w:val="nil"/>
        </w:pBdr>
        <w:tabs>
          <w:tab w:val="left" w:pos="432"/>
          <w:tab w:val="left" w:pos="1205"/>
        </w:tabs>
        <w:spacing w:after="120" w:line="360" w:lineRule="auto"/>
        <w:jc w:val="both"/>
        <w:rPr>
          <w:rFonts w:ascii="Arial" w:eastAsia="Arial" w:hAnsi="Arial" w:cs="Arial"/>
          <w:color w:val="010000"/>
          <w:sz w:val="20"/>
          <w:szCs w:val="20"/>
        </w:rPr>
      </w:pPr>
      <w:r w:rsidRPr="0017797C">
        <w:rPr>
          <w:rFonts w:ascii="Arial" w:hAnsi="Arial" w:cs="Arial"/>
          <w:color w:val="010000"/>
          <w:sz w:val="20"/>
        </w:rPr>
        <w:t>Proposal on approving ship investment plan No. 05, type of oil product/chemical tanker, tonnage of about 19,000 DWT - 25,000 DWT.</w:t>
      </w:r>
    </w:p>
    <w:p w:rsidR="0038017D" w:rsidRPr="0017797C" w:rsidRDefault="00A91C1F" w:rsidP="00DB32BF">
      <w:pPr>
        <w:numPr>
          <w:ilvl w:val="0"/>
          <w:numId w:val="11"/>
        </w:numPr>
        <w:pBdr>
          <w:top w:val="nil"/>
          <w:left w:val="nil"/>
          <w:bottom w:val="nil"/>
          <w:right w:val="nil"/>
          <w:between w:val="nil"/>
        </w:pBdr>
        <w:tabs>
          <w:tab w:val="left" w:pos="432"/>
          <w:tab w:val="left" w:pos="1245"/>
        </w:tabs>
        <w:spacing w:after="120" w:line="360" w:lineRule="auto"/>
        <w:jc w:val="both"/>
        <w:rPr>
          <w:rFonts w:ascii="Arial" w:eastAsia="Arial" w:hAnsi="Arial" w:cs="Arial"/>
          <w:color w:val="010000"/>
          <w:sz w:val="20"/>
          <w:szCs w:val="20"/>
        </w:rPr>
      </w:pPr>
      <w:r w:rsidRPr="0017797C">
        <w:rPr>
          <w:rFonts w:ascii="Arial" w:hAnsi="Arial" w:cs="Arial"/>
          <w:color w:val="010000"/>
          <w:sz w:val="20"/>
        </w:rPr>
        <w:t>Proposal on stopping the implementation of the Investment Plan for 01 VLGC-type liquefied gas carrier with capacity of 75,000-80,000 CBM, tonnage of about 45,000 - 50,000 DWT.</w:t>
      </w:r>
    </w:p>
    <w:p w:rsidR="0038017D" w:rsidRPr="0017797C" w:rsidRDefault="00A91C1F" w:rsidP="00DB32BF">
      <w:pPr>
        <w:numPr>
          <w:ilvl w:val="0"/>
          <w:numId w:val="11"/>
        </w:numPr>
        <w:pBdr>
          <w:top w:val="nil"/>
          <w:left w:val="nil"/>
          <w:bottom w:val="nil"/>
          <w:right w:val="nil"/>
          <w:between w:val="nil"/>
        </w:pBdr>
        <w:tabs>
          <w:tab w:val="left" w:pos="432"/>
          <w:tab w:val="left" w:pos="1365"/>
        </w:tabs>
        <w:spacing w:after="120" w:line="360" w:lineRule="auto"/>
        <w:jc w:val="both"/>
        <w:rPr>
          <w:rFonts w:ascii="Arial" w:eastAsia="Arial" w:hAnsi="Arial" w:cs="Arial"/>
          <w:color w:val="010000"/>
          <w:sz w:val="20"/>
          <w:szCs w:val="20"/>
        </w:rPr>
      </w:pPr>
      <w:r w:rsidRPr="0017797C">
        <w:rPr>
          <w:rFonts w:ascii="Arial" w:hAnsi="Arial" w:cs="Arial"/>
          <w:color w:val="010000"/>
          <w:sz w:val="20"/>
        </w:rPr>
        <w:t>Proposal on the cancellation of the plan to offer additional shares to existing shareholders to increase charter capital.</w:t>
      </w:r>
    </w:p>
    <w:p w:rsidR="0038017D" w:rsidRPr="0017797C" w:rsidRDefault="00A91C1F" w:rsidP="00DB32BF">
      <w:pPr>
        <w:numPr>
          <w:ilvl w:val="0"/>
          <w:numId w:val="11"/>
        </w:numPr>
        <w:pBdr>
          <w:top w:val="nil"/>
          <w:left w:val="nil"/>
          <w:bottom w:val="nil"/>
          <w:right w:val="nil"/>
          <w:between w:val="nil"/>
        </w:pBdr>
        <w:tabs>
          <w:tab w:val="left" w:pos="432"/>
          <w:tab w:val="left" w:pos="1365"/>
        </w:tabs>
        <w:spacing w:after="120" w:line="360" w:lineRule="auto"/>
        <w:jc w:val="both"/>
        <w:rPr>
          <w:rFonts w:ascii="Arial" w:eastAsia="Arial" w:hAnsi="Arial" w:cs="Arial"/>
          <w:color w:val="010000"/>
          <w:sz w:val="20"/>
          <w:szCs w:val="20"/>
        </w:rPr>
      </w:pPr>
      <w:r w:rsidRPr="0017797C">
        <w:rPr>
          <w:rFonts w:ascii="Arial" w:hAnsi="Arial" w:cs="Arial"/>
          <w:color w:val="010000"/>
          <w:sz w:val="20"/>
        </w:rPr>
        <w:t>Proposal on the approval of promulgation of Operation Regulations of the Supervisory Board.</w:t>
      </w:r>
    </w:p>
    <w:p w:rsidR="0038017D" w:rsidRPr="0017797C" w:rsidRDefault="00A91C1F" w:rsidP="00DB32BF">
      <w:pPr>
        <w:numPr>
          <w:ilvl w:val="0"/>
          <w:numId w:val="1"/>
        </w:numPr>
        <w:pBdr>
          <w:top w:val="nil"/>
          <w:left w:val="nil"/>
          <w:bottom w:val="nil"/>
          <w:right w:val="nil"/>
          <w:between w:val="nil"/>
        </w:pBd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Report on the implementation of the capital use plan, the amount from the issuance of additional shares in 2023</w:t>
      </w:r>
      <w:r w:rsidR="003E77E7" w:rsidRPr="0017797C">
        <w:rPr>
          <w:rFonts w:ascii="Arial" w:hAnsi="Arial" w:cs="Arial"/>
          <w:color w:val="010000"/>
          <w:sz w:val="20"/>
        </w:rPr>
        <w:t>,</w:t>
      </w:r>
      <w:r w:rsidRPr="0017797C">
        <w:rPr>
          <w:rFonts w:ascii="Arial" w:hAnsi="Arial" w:cs="Arial"/>
          <w:color w:val="010000"/>
          <w:sz w:val="20"/>
        </w:rPr>
        <w:t xml:space="preserve"> and the completion of the investment in ship No. 3 - the Loyal ship.</w:t>
      </w:r>
    </w:p>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The amount from the share issuance is VND 224,355,970,000 (according to the Report on the results of the Company's public offering of additional shares approved by the Securities Commission in Official Dispatch No. 6168/UBCK-QLCB dated September 11, 2023) is used for the following purposes:</w:t>
      </w:r>
    </w:p>
    <w:tbl>
      <w:tblPr>
        <w:tblStyle w:val="a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716"/>
        <w:gridCol w:w="3075"/>
        <w:gridCol w:w="2328"/>
        <w:gridCol w:w="1811"/>
        <w:gridCol w:w="1081"/>
      </w:tblGrid>
      <w:tr w:rsidR="0038017D" w:rsidRPr="0017797C" w:rsidTr="0020482F">
        <w:tc>
          <w:tcPr>
            <w:tcW w:w="397" w:type="pct"/>
            <w:shd w:val="clear" w:color="auto" w:fill="auto"/>
            <w:tcMar>
              <w:top w:w="0" w:type="dxa"/>
              <w:left w:w="0" w:type="dxa"/>
              <w:bottom w:w="0" w:type="dxa"/>
              <w:right w:w="0" w:type="dxa"/>
            </w:tcMar>
            <w:vAlign w:val="center"/>
          </w:tcPr>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No.</w:t>
            </w:r>
          </w:p>
        </w:tc>
        <w:tc>
          <w:tcPr>
            <w:tcW w:w="1706" w:type="pct"/>
            <w:shd w:val="clear" w:color="auto" w:fill="auto"/>
            <w:tcMar>
              <w:top w:w="0" w:type="dxa"/>
              <w:left w:w="0" w:type="dxa"/>
              <w:bottom w:w="0" w:type="dxa"/>
              <w:right w:w="0" w:type="dxa"/>
            </w:tcMar>
            <w:vAlign w:val="center"/>
          </w:tcPr>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Capital use purpose</w:t>
            </w:r>
          </w:p>
        </w:tc>
        <w:tc>
          <w:tcPr>
            <w:tcW w:w="1292" w:type="pct"/>
            <w:shd w:val="clear" w:color="auto" w:fill="auto"/>
            <w:tcMar>
              <w:top w:w="0" w:type="dxa"/>
              <w:left w:w="0" w:type="dxa"/>
              <w:bottom w:w="0" w:type="dxa"/>
              <w:right w:w="0" w:type="dxa"/>
            </w:tcMar>
            <w:vAlign w:val="center"/>
          </w:tcPr>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Amount to be used</w:t>
            </w:r>
          </w:p>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(VND)</w:t>
            </w:r>
          </w:p>
        </w:tc>
        <w:tc>
          <w:tcPr>
            <w:tcW w:w="1005" w:type="pct"/>
            <w:shd w:val="clear" w:color="auto" w:fill="auto"/>
            <w:tcMar>
              <w:top w:w="0" w:type="dxa"/>
              <w:left w:w="0" w:type="dxa"/>
              <w:bottom w:w="0" w:type="dxa"/>
              <w:right w:w="0" w:type="dxa"/>
            </w:tcMar>
            <w:vAlign w:val="center"/>
          </w:tcPr>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Expected use time</w:t>
            </w:r>
          </w:p>
        </w:tc>
        <w:tc>
          <w:tcPr>
            <w:tcW w:w="600" w:type="pct"/>
            <w:shd w:val="clear" w:color="auto" w:fill="auto"/>
            <w:tcMar>
              <w:top w:w="0" w:type="dxa"/>
              <w:left w:w="0" w:type="dxa"/>
              <w:bottom w:w="0" w:type="dxa"/>
              <w:right w:w="0" w:type="dxa"/>
            </w:tcMar>
            <w:vAlign w:val="center"/>
          </w:tcPr>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Note</w:t>
            </w:r>
          </w:p>
        </w:tc>
      </w:tr>
      <w:tr w:rsidR="0038017D" w:rsidRPr="0017797C" w:rsidTr="0020482F">
        <w:tc>
          <w:tcPr>
            <w:tcW w:w="397" w:type="pct"/>
            <w:shd w:val="clear" w:color="auto" w:fill="auto"/>
            <w:tcMar>
              <w:top w:w="0" w:type="dxa"/>
              <w:left w:w="0" w:type="dxa"/>
              <w:bottom w:w="0" w:type="dxa"/>
              <w:right w:w="0" w:type="dxa"/>
            </w:tcMar>
            <w:vAlign w:val="center"/>
          </w:tcPr>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1</w:t>
            </w:r>
          </w:p>
        </w:tc>
        <w:tc>
          <w:tcPr>
            <w:tcW w:w="1706" w:type="pct"/>
            <w:shd w:val="clear" w:color="auto" w:fill="auto"/>
            <w:tcMar>
              <w:top w:w="0" w:type="dxa"/>
              <w:left w:w="0" w:type="dxa"/>
              <w:bottom w:w="0" w:type="dxa"/>
              <w:right w:w="0" w:type="dxa"/>
            </w:tcMar>
            <w:vAlign w:val="center"/>
          </w:tcPr>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Pay for Loyal ship</w:t>
            </w:r>
          </w:p>
        </w:tc>
        <w:tc>
          <w:tcPr>
            <w:tcW w:w="1292" w:type="pct"/>
            <w:shd w:val="clear" w:color="auto" w:fill="auto"/>
            <w:tcMar>
              <w:top w:w="0" w:type="dxa"/>
              <w:left w:w="0" w:type="dxa"/>
              <w:bottom w:w="0" w:type="dxa"/>
              <w:right w:w="0" w:type="dxa"/>
            </w:tcMar>
            <w:vAlign w:val="center"/>
          </w:tcPr>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150,735,576,000</w:t>
            </w:r>
          </w:p>
        </w:tc>
        <w:tc>
          <w:tcPr>
            <w:tcW w:w="1005" w:type="pct"/>
            <w:shd w:val="clear" w:color="auto" w:fill="auto"/>
            <w:tcMar>
              <w:top w:w="0" w:type="dxa"/>
              <w:left w:w="0" w:type="dxa"/>
              <w:bottom w:w="0" w:type="dxa"/>
              <w:right w:w="0" w:type="dxa"/>
            </w:tcMar>
            <w:vAlign w:val="center"/>
          </w:tcPr>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In 2023</w:t>
            </w:r>
          </w:p>
        </w:tc>
        <w:tc>
          <w:tcPr>
            <w:tcW w:w="600" w:type="pct"/>
            <w:shd w:val="clear" w:color="auto" w:fill="auto"/>
            <w:tcMar>
              <w:top w:w="0" w:type="dxa"/>
              <w:left w:w="0" w:type="dxa"/>
              <w:bottom w:w="0" w:type="dxa"/>
              <w:right w:w="0" w:type="dxa"/>
            </w:tcMar>
            <w:vAlign w:val="center"/>
          </w:tcPr>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 xml:space="preserve"> </w:t>
            </w:r>
          </w:p>
        </w:tc>
      </w:tr>
      <w:tr w:rsidR="0038017D" w:rsidRPr="0017797C" w:rsidTr="0020482F">
        <w:tc>
          <w:tcPr>
            <w:tcW w:w="397" w:type="pct"/>
            <w:shd w:val="clear" w:color="auto" w:fill="auto"/>
            <w:tcMar>
              <w:top w:w="0" w:type="dxa"/>
              <w:left w:w="0" w:type="dxa"/>
              <w:bottom w:w="0" w:type="dxa"/>
              <w:right w:w="0" w:type="dxa"/>
            </w:tcMar>
            <w:vAlign w:val="center"/>
          </w:tcPr>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2</w:t>
            </w:r>
          </w:p>
        </w:tc>
        <w:tc>
          <w:tcPr>
            <w:tcW w:w="1706" w:type="pct"/>
            <w:shd w:val="clear" w:color="auto" w:fill="auto"/>
            <w:tcMar>
              <w:top w:w="0" w:type="dxa"/>
              <w:left w:w="0" w:type="dxa"/>
              <w:bottom w:w="0" w:type="dxa"/>
              <w:right w:w="0" w:type="dxa"/>
            </w:tcMar>
            <w:vAlign w:val="center"/>
          </w:tcPr>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 xml:space="preserve">Supplement the source of capital for business and working capital of </w:t>
            </w:r>
            <w:r w:rsidRPr="0017797C">
              <w:rPr>
                <w:rFonts w:ascii="Arial" w:hAnsi="Arial" w:cs="Arial"/>
                <w:color w:val="010000"/>
                <w:sz w:val="20"/>
              </w:rPr>
              <w:lastRenderedPageBreak/>
              <w:t>the Company</w:t>
            </w:r>
          </w:p>
        </w:tc>
        <w:tc>
          <w:tcPr>
            <w:tcW w:w="1292" w:type="pct"/>
            <w:shd w:val="clear" w:color="auto" w:fill="auto"/>
            <w:tcMar>
              <w:top w:w="0" w:type="dxa"/>
              <w:left w:w="0" w:type="dxa"/>
              <w:bottom w:w="0" w:type="dxa"/>
              <w:right w:w="0" w:type="dxa"/>
            </w:tcMar>
            <w:vAlign w:val="center"/>
          </w:tcPr>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lastRenderedPageBreak/>
              <w:t>73,620,394,000</w:t>
            </w:r>
          </w:p>
        </w:tc>
        <w:tc>
          <w:tcPr>
            <w:tcW w:w="1005" w:type="pct"/>
            <w:shd w:val="clear" w:color="auto" w:fill="auto"/>
            <w:tcMar>
              <w:top w:w="0" w:type="dxa"/>
              <w:left w:w="0" w:type="dxa"/>
              <w:bottom w:w="0" w:type="dxa"/>
              <w:right w:w="0" w:type="dxa"/>
            </w:tcMar>
            <w:vAlign w:val="center"/>
          </w:tcPr>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In 2023</w:t>
            </w:r>
          </w:p>
        </w:tc>
        <w:tc>
          <w:tcPr>
            <w:tcW w:w="600" w:type="pct"/>
            <w:shd w:val="clear" w:color="auto" w:fill="auto"/>
            <w:tcMar>
              <w:top w:w="0" w:type="dxa"/>
              <w:left w:w="0" w:type="dxa"/>
              <w:bottom w:w="0" w:type="dxa"/>
              <w:right w:w="0" w:type="dxa"/>
            </w:tcMar>
            <w:vAlign w:val="center"/>
          </w:tcPr>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 xml:space="preserve"> </w:t>
            </w:r>
          </w:p>
        </w:tc>
      </w:tr>
      <w:tr w:rsidR="0038017D" w:rsidRPr="0017797C" w:rsidTr="0020482F">
        <w:tc>
          <w:tcPr>
            <w:tcW w:w="397" w:type="pct"/>
            <w:shd w:val="clear" w:color="auto" w:fill="auto"/>
            <w:tcMar>
              <w:top w:w="0" w:type="dxa"/>
              <w:left w:w="0" w:type="dxa"/>
              <w:bottom w:w="0" w:type="dxa"/>
              <w:right w:w="0" w:type="dxa"/>
            </w:tcMar>
            <w:vAlign w:val="center"/>
          </w:tcPr>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lastRenderedPageBreak/>
              <w:t xml:space="preserve"> </w:t>
            </w:r>
          </w:p>
        </w:tc>
        <w:tc>
          <w:tcPr>
            <w:tcW w:w="1706" w:type="pct"/>
            <w:shd w:val="clear" w:color="auto" w:fill="auto"/>
            <w:tcMar>
              <w:top w:w="0" w:type="dxa"/>
              <w:left w:w="0" w:type="dxa"/>
              <w:bottom w:w="0" w:type="dxa"/>
              <w:right w:w="0" w:type="dxa"/>
            </w:tcMar>
            <w:vAlign w:val="center"/>
          </w:tcPr>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Total</w:t>
            </w:r>
          </w:p>
        </w:tc>
        <w:tc>
          <w:tcPr>
            <w:tcW w:w="1292" w:type="pct"/>
            <w:shd w:val="clear" w:color="auto" w:fill="auto"/>
            <w:tcMar>
              <w:top w:w="0" w:type="dxa"/>
              <w:left w:w="0" w:type="dxa"/>
              <w:bottom w:w="0" w:type="dxa"/>
              <w:right w:w="0" w:type="dxa"/>
            </w:tcMar>
            <w:vAlign w:val="center"/>
          </w:tcPr>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224,355,970,000</w:t>
            </w:r>
          </w:p>
        </w:tc>
        <w:tc>
          <w:tcPr>
            <w:tcW w:w="1005" w:type="pct"/>
            <w:shd w:val="clear" w:color="auto" w:fill="auto"/>
            <w:tcMar>
              <w:top w:w="0" w:type="dxa"/>
              <w:left w:w="0" w:type="dxa"/>
              <w:bottom w:w="0" w:type="dxa"/>
              <w:right w:w="0" w:type="dxa"/>
            </w:tcMar>
            <w:vAlign w:val="center"/>
          </w:tcPr>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 xml:space="preserve"> </w:t>
            </w:r>
          </w:p>
        </w:tc>
        <w:tc>
          <w:tcPr>
            <w:tcW w:w="600" w:type="pct"/>
            <w:shd w:val="clear" w:color="auto" w:fill="auto"/>
            <w:tcMar>
              <w:top w:w="0" w:type="dxa"/>
              <w:left w:w="0" w:type="dxa"/>
              <w:bottom w:w="0" w:type="dxa"/>
              <w:right w:w="0" w:type="dxa"/>
            </w:tcMar>
            <w:vAlign w:val="center"/>
          </w:tcPr>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 xml:space="preserve"> </w:t>
            </w:r>
          </w:p>
        </w:tc>
      </w:tr>
    </w:tbl>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The Company has completed the use of all amount from the public offering according to the approved adjusted capital use plan mentioned above, within the time of the Board of Directors and make a report to the General Meeting of Shareholders at the time of the Annual General Meeting dated February 29, 2024 on completing an investment in ship No. 3 (Loyal ship), the ship has been put into operation with stable revenue since the date of purchase until now.</w:t>
      </w:r>
    </w:p>
    <w:p w:rsidR="0038017D" w:rsidRPr="0017797C" w:rsidRDefault="00A91C1F" w:rsidP="00DB32BF">
      <w:pP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As of April 24, 2024, the Company has fully implemented reports related to share issuance, ship investment, and owners’ equity audit according to legal regulations.</w:t>
      </w:r>
    </w:p>
    <w:p w:rsidR="0038017D" w:rsidRPr="0017797C" w:rsidRDefault="00A91C1F" w:rsidP="00DB32BF">
      <w:pPr>
        <w:numPr>
          <w:ilvl w:val="0"/>
          <w:numId w:val="1"/>
        </w:numPr>
        <w:pBdr>
          <w:top w:val="nil"/>
          <w:left w:val="nil"/>
          <w:bottom w:val="nil"/>
          <w:right w:val="nil"/>
          <w:between w:val="nil"/>
        </w:pBdr>
        <w:tabs>
          <w:tab w:val="left" w:pos="432"/>
          <w:tab w:val="left" w:pos="1370"/>
        </w:tabs>
        <w:spacing w:after="120" w:line="360" w:lineRule="auto"/>
        <w:jc w:val="both"/>
        <w:rPr>
          <w:rFonts w:ascii="Arial" w:eastAsia="Arial" w:hAnsi="Arial" w:cs="Arial"/>
          <w:color w:val="010000"/>
          <w:sz w:val="20"/>
          <w:szCs w:val="20"/>
        </w:rPr>
      </w:pPr>
      <w:r w:rsidRPr="0017797C">
        <w:rPr>
          <w:rFonts w:ascii="Arial" w:hAnsi="Arial" w:cs="Arial"/>
          <w:color w:val="010000"/>
          <w:sz w:val="20"/>
        </w:rPr>
        <w:t>The results of the election of additional members to the Board of Directors and members of the Supervisory Board in the term of 2023 - 2024 are as follows:</w:t>
      </w:r>
    </w:p>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Member</w:t>
      </w:r>
      <w:r w:rsidR="003E77E7" w:rsidRPr="0017797C">
        <w:rPr>
          <w:rFonts w:ascii="Arial" w:hAnsi="Arial" w:cs="Arial"/>
          <w:color w:val="010000"/>
          <w:sz w:val="20"/>
        </w:rPr>
        <w:t>s</w:t>
      </w:r>
      <w:r w:rsidRPr="0017797C">
        <w:rPr>
          <w:rFonts w:ascii="Arial" w:hAnsi="Arial" w:cs="Arial"/>
          <w:color w:val="010000"/>
          <w:sz w:val="20"/>
        </w:rPr>
        <w:t xml:space="preserve"> of the Board of Directors</w:t>
      </w:r>
    </w:p>
    <w:p w:rsidR="0038017D" w:rsidRPr="0017797C" w:rsidRDefault="00A91C1F" w:rsidP="00DB32BF">
      <w:pPr>
        <w:numPr>
          <w:ilvl w:val="0"/>
          <w:numId w:val="7"/>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7797C">
        <w:rPr>
          <w:rFonts w:ascii="Arial" w:hAnsi="Arial" w:cs="Arial"/>
          <w:color w:val="010000"/>
          <w:sz w:val="20"/>
        </w:rPr>
        <w:t xml:space="preserve">Mr. Vo Ngoc </w:t>
      </w:r>
      <w:proofErr w:type="spellStart"/>
      <w:r w:rsidRPr="0017797C">
        <w:rPr>
          <w:rFonts w:ascii="Arial" w:hAnsi="Arial" w:cs="Arial"/>
          <w:color w:val="010000"/>
          <w:sz w:val="20"/>
        </w:rPr>
        <w:t>Phung</w:t>
      </w:r>
      <w:proofErr w:type="spellEnd"/>
    </w:p>
    <w:p w:rsidR="0038017D" w:rsidRPr="0017797C" w:rsidRDefault="00A91C1F" w:rsidP="00DB32BF">
      <w:pPr>
        <w:numPr>
          <w:ilvl w:val="0"/>
          <w:numId w:val="7"/>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7797C">
        <w:rPr>
          <w:rFonts w:ascii="Arial" w:hAnsi="Arial" w:cs="Arial"/>
          <w:color w:val="010000"/>
          <w:sz w:val="20"/>
        </w:rPr>
        <w:t xml:space="preserve">Mr. Pham Xuan </w:t>
      </w:r>
      <w:proofErr w:type="spellStart"/>
      <w:r w:rsidRPr="0017797C">
        <w:rPr>
          <w:rFonts w:ascii="Arial" w:hAnsi="Arial" w:cs="Arial"/>
          <w:color w:val="010000"/>
          <w:sz w:val="20"/>
        </w:rPr>
        <w:t>Quang</w:t>
      </w:r>
      <w:proofErr w:type="spellEnd"/>
    </w:p>
    <w:p w:rsidR="0038017D" w:rsidRPr="0017797C" w:rsidRDefault="00A91C1F" w:rsidP="00DB32BF">
      <w:pPr>
        <w:numPr>
          <w:ilvl w:val="0"/>
          <w:numId w:val="7"/>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7797C">
        <w:rPr>
          <w:rFonts w:ascii="Arial" w:hAnsi="Arial" w:cs="Arial"/>
          <w:color w:val="010000"/>
          <w:sz w:val="20"/>
        </w:rPr>
        <w:t xml:space="preserve">Mr. Tran </w:t>
      </w:r>
      <w:proofErr w:type="spellStart"/>
      <w:r w:rsidRPr="0017797C">
        <w:rPr>
          <w:rFonts w:ascii="Arial" w:hAnsi="Arial" w:cs="Arial"/>
          <w:color w:val="010000"/>
          <w:sz w:val="20"/>
        </w:rPr>
        <w:t>Trung</w:t>
      </w:r>
      <w:proofErr w:type="spellEnd"/>
      <w:r w:rsidRPr="0017797C">
        <w:rPr>
          <w:rFonts w:ascii="Arial" w:hAnsi="Arial" w:cs="Arial"/>
          <w:color w:val="010000"/>
          <w:sz w:val="20"/>
        </w:rPr>
        <w:t xml:space="preserve"> </w:t>
      </w:r>
      <w:proofErr w:type="spellStart"/>
      <w:r w:rsidRPr="0017797C">
        <w:rPr>
          <w:rFonts w:ascii="Arial" w:hAnsi="Arial" w:cs="Arial"/>
          <w:color w:val="010000"/>
          <w:sz w:val="20"/>
        </w:rPr>
        <w:t>Quoc</w:t>
      </w:r>
      <w:proofErr w:type="spellEnd"/>
    </w:p>
    <w:p w:rsidR="0038017D" w:rsidRPr="0017797C" w:rsidRDefault="00A91C1F" w:rsidP="00DB32BF">
      <w:pPr>
        <w:numPr>
          <w:ilvl w:val="0"/>
          <w:numId w:val="7"/>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7797C">
        <w:rPr>
          <w:rFonts w:ascii="Arial" w:hAnsi="Arial" w:cs="Arial"/>
          <w:color w:val="010000"/>
          <w:sz w:val="20"/>
        </w:rPr>
        <w:t>Mr. Le Anh Nam</w:t>
      </w:r>
    </w:p>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Member</w:t>
      </w:r>
      <w:r w:rsidR="003E77E7" w:rsidRPr="0017797C">
        <w:rPr>
          <w:rFonts w:ascii="Arial" w:hAnsi="Arial" w:cs="Arial"/>
          <w:color w:val="010000"/>
          <w:sz w:val="20"/>
        </w:rPr>
        <w:t>s</w:t>
      </w:r>
      <w:r w:rsidRPr="0017797C">
        <w:rPr>
          <w:rFonts w:ascii="Arial" w:hAnsi="Arial" w:cs="Arial"/>
          <w:color w:val="010000"/>
          <w:sz w:val="20"/>
        </w:rPr>
        <w:t xml:space="preserve"> of The Supervisory Board</w:t>
      </w:r>
    </w:p>
    <w:p w:rsidR="0038017D" w:rsidRPr="0017797C" w:rsidRDefault="00A91C1F" w:rsidP="00DB32BF">
      <w:pPr>
        <w:numPr>
          <w:ilvl w:val="0"/>
          <w:numId w:val="8"/>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7797C">
        <w:rPr>
          <w:rFonts w:ascii="Arial" w:hAnsi="Arial" w:cs="Arial"/>
          <w:color w:val="010000"/>
          <w:sz w:val="20"/>
        </w:rPr>
        <w:t xml:space="preserve">Ms. Nguyen Thi Ngoc Dep </w:t>
      </w:r>
    </w:p>
    <w:p w:rsidR="0038017D" w:rsidRPr="0017797C" w:rsidRDefault="00A91C1F" w:rsidP="00DB32BF">
      <w:pPr>
        <w:numPr>
          <w:ilvl w:val="0"/>
          <w:numId w:val="8"/>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7797C">
        <w:rPr>
          <w:rFonts w:ascii="Arial" w:hAnsi="Arial" w:cs="Arial"/>
          <w:color w:val="010000"/>
          <w:sz w:val="20"/>
        </w:rPr>
        <w:t>Ms. Nguyen Thi Thu Tam</w:t>
      </w:r>
    </w:p>
    <w:p w:rsidR="0038017D" w:rsidRPr="0017797C" w:rsidRDefault="00A91C1F" w:rsidP="00DB32BF">
      <w:pPr>
        <w:numPr>
          <w:ilvl w:val="0"/>
          <w:numId w:val="8"/>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7797C">
        <w:rPr>
          <w:rFonts w:ascii="Arial" w:hAnsi="Arial" w:cs="Arial"/>
          <w:color w:val="010000"/>
          <w:sz w:val="20"/>
        </w:rPr>
        <w:t>Ms. Chu Thi Mai Huong</w:t>
      </w:r>
    </w:p>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 xml:space="preserve">Article 2. The Board of Directors is responsible for directing, </w:t>
      </w:r>
      <w:r w:rsidR="003E77E7" w:rsidRPr="0017797C">
        <w:rPr>
          <w:rFonts w:ascii="Arial" w:hAnsi="Arial" w:cs="Arial"/>
          <w:color w:val="010000"/>
          <w:sz w:val="20"/>
        </w:rPr>
        <w:t xml:space="preserve">and </w:t>
      </w:r>
      <w:r w:rsidRPr="0017797C">
        <w:rPr>
          <w:rFonts w:ascii="Arial" w:hAnsi="Arial" w:cs="Arial"/>
          <w:color w:val="010000"/>
          <w:sz w:val="20"/>
        </w:rPr>
        <w:t xml:space="preserve">implementing the contents approved by the General Meeting of Shareholders in accordance with the law and the Operational Charter of the Company. </w:t>
      </w:r>
    </w:p>
    <w:p w:rsidR="0038017D" w:rsidRPr="0017797C" w:rsidRDefault="00A91C1F" w:rsidP="00DB32B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7797C">
        <w:rPr>
          <w:rFonts w:ascii="Arial" w:hAnsi="Arial" w:cs="Arial"/>
          <w:color w:val="010000"/>
          <w:sz w:val="20"/>
        </w:rPr>
        <w:t>Article 3. This General Mandate has been approved by the General Meeting of Shareholders of Global Pacific Shipping JSC and takes effect from the date of its signing.</w:t>
      </w:r>
    </w:p>
    <w:sectPr w:rsidR="0038017D" w:rsidRPr="0017797C" w:rsidSect="0020482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CB2"/>
    <w:multiLevelType w:val="multilevel"/>
    <w:tmpl w:val="1DEAEF44"/>
    <w:lvl w:ilvl="0">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9F591A"/>
    <w:multiLevelType w:val="multilevel"/>
    <w:tmpl w:val="F45E7F96"/>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F5E4E7E"/>
    <w:multiLevelType w:val="multilevel"/>
    <w:tmpl w:val="E174DEA6"/>
    <w:lvl w:ilvl="0">
      <w:start w:val="21"/>
      <w:numFmt w:val="decimal"/>
      <w:lvlText w:val="%1"/>
      <w:lvlJc w:val="left"/>
      <w:pPr>
        <w:ind w:left="420" w:hanging="420"/>
      </w:pPr>
      <w:rPr>
        <w:rFonts w:ascii="Arial" w:eastAsia="Arial" w:hAnsi="Arial" w:cs="Arial"/>
        <w:b w:val="0"/>
        <w:i w:val="0"/>
        <w:sz w:val="20"/>
        <w:szCs w:val="20"/>
        <w:u w:val="none"/>
      </w:rPr>
    </w:lvl>
    <w:lvl w:ilvl="1">
      <w:start w:val="1"/>
      <w:numFmt w:val="decimal"/>
      <w:lvlText w:val="%1.%2"/>
      <w:lvlJc w:val="left"/>
      <w:pPr>
        <w:ind w:left="780" w:hanging="420"/>
      </w:pPr>
      <w:rPr>
        <w:rFonts w:ascii="Arial" w:eastAsia="Arial" w:hAnsi="Arial" w:cs="Arial"/>
        <w:b w:val="0"/>
        <w:i w:val="0"/>
        <w:sz w:val="20"/>
        <w:szCs w:val="20"/>
      </w:rPr>
    </w:lvl>
    <w:lvl w:ilvl="2">
      <w:start w:val="1"/>
      <w:numFmt w:val="decimal"/>
      <w:lvlText w:val="%1.%2.%3"/>
      <w:lvlJc w:val="left"/>
      <w:pPr>
        <w:ind w:left="1440" w:hanging="720"/>
      </w:pPr>
      <w:rPr>
        <w:rFonts w:ascii="Arial" w:eastAsia="Arial" w:hAnsi="Arial" w:cs="Arial"/>
        <w:b w:val="0"/>
        <w:i w:val="0"/>
        <w:sz w:val="20"/>
        <w:szCs w:val="2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20141B4"/>
    <w:multiLevelType w:val="multilevel"/>
    <w:tmpl w:val="9FC25190"/>
    <w:lvl w:ilvl="0">
      <w:start w:val="1"/>
      <w:numFmt w:val="upperRoman"/>
      <w:lvlText w:val="%1."/>
      <w:lvlJc w:val="left"/>
      <w:pPr>
        <w:ind w:left="1080" w:hanging="72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17459E"/>
    <w:multiLevelType w:val="multilevel"/>
    <w:tmpl w:val="1576B8B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5B34F94"/>
    <w:multiLevelType w:val="multilevel"/>
    <w:tmpl w:val="39608F66"/>
    <w:lvl w:ilvl="0">
      <w:start w:val="12"/>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AF74E1E"/>
    <w:multiLevelType w:val="multilevel"/>
    <w:tmpl w:val="52D402B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43C0751"/>
    <w:multiLevelType w:val="multilevel"/>
    <w:tmpl w:val="514891A2"/>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3F3F92"/>
    <w:multiLevelType w:val="multilevel"/>
    <w:tmpl w:val="E9F0383E"/>
    <w:lvl w:ilvl="0">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DBF68FB"/>
    <w:multiLevelType w:val="multilevel"/>
    <w:tmpl w:val="5F16664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33503BE"/>
    <w:multiLevelType w:val="multilevel"/>
    <w:tmpl w:val="6B08ABD8"/>
    <w:lvl w:ilvl="0">
      <w:start w:val="5"/>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7C21E0B"/>
    <w:multiLevelType w:val="multilevel"/>
    <w:tmpl w:val="6C3E16AC"/>
    <w:lvl w:ilvl="0">
      <w:start w:val="2"/>
      <w:numFmt w:val="upperRoman"/>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10"/>
  </w:num>
  <w:num w:numId="3">
    <w:abstractNumId w:val="11"/>
  </w:num>
  <w:num w:numId="4">
    <w:abstractNumId w:val="2"/>
  </w:num>
  <w:num w:numId="5">
    <w:abstractNumId w:val="1"/>
  </w:num>
  <w:num w:numId="6">
    <w:abstractNumId w:val="3"/>
  </w:num>
  <w:num w:numId="7">
    <w:abstractNumId w:val="8"/>
  </w:num>
  <w:num w:numId="8">
    <w:abstractNumId w:val="0"/>
  </w:num>
  <w:num w:numId="9">
    <w:abstractNumId w:val="9"/>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7D"/>
    <w:rsid w:val="0017797C"/>
    <w:rsid w:val="0020482F"/>
    <w:rsid w:val="002761A3"/>
    <w:rsid w:val="0038017D"/>
    <w:rsid w:val="003E77E7"/>
    <w:rsid w:val="004A5088"/>
    <w:rsid w:val="00A91C1F"/>
    <w:rsid w:val="00B00879"/>
    <w:rsid w:val="00DB3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821675-92CF-43F0-8855-0443F9A3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paragraph" w:customStyle="1" w:styleId="Vnbnnidung30">
    <w:name w:val="Văn bản nội dung (3)"/>
    <w:basedOn w:val="Normal"/>
    <w:link w:val="Vnbnnidung3"/>
    <w:pPr>
      <w:spacing w:line="257" w:lineRule="auto"/>
      <w:ind w:left="1180"/>
    </w:pPr>
    <w:rPr>
      <w:rFonts w:ascii="Times New Roman" w:eastAsia="Times New Roman" w:hAnsi="Times New Roman" w:cs="Times New Roman"/>
      <w:sz w:val="26"/>
      <w:szCs w:val="26"/>
    </w:rPr>
  </w:style>
  <w:style w:type="paragraph" w:customStyle="1" w:styleId="Vnbnnidung0">
    <w:name w:val="Văn bản nội dung"/>
    <w:basedOn w:val="Normal"/>
    <w:link w:val="Vnbnnidung"/>
    <w:pPr>
      <w:spacing w:line="312" w:lineRule="auto"/>
    </w:pPr>
    <w:rPr>
      <w:rFonts w:ascii="Times New Roman" w:eastAsia="Times New Roman" w:hAnsi="Times New Roman" w:cs="Times New Roman"/>
    </w:rPr>
  </w:style>
  <w:style w:type="paragraph" w:customStyle="1" w:styleId="Vnbnnidung20">
    <w:name w:val="Văn bản nội dung (2)"/>
    <w:basedOn w:val="Normal"/>
    <w:link w:val="Vnbnnidung2"/>
    <w:pPr>
      <w:spacing w:line="262" w:lineRule="auto"/>
      <w:ind w:left="1160" w:hanging="340"/>
    </w:pPr>
    <w:rPr>
      <w:rFonts w:ascii="Times New Roman" w:eastAsia="Times New Roman" w:hAnsi="Times New Roman" w:cs="Times New Roman"/>
      <w:sz w:val="26"/>
      <w:szCs w:val="26"/>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36"/>
      <w:szCs w:val="36"/>
    </w:rPr>
  </w:style>
  <w:style w:type="paragraph" w:customStyle="1" w:styleId="Tiu20">
    <w:name w:val="Tiêu đề #2"/>
    <w:basedOn w:val="Normal"/>
    <w:link w:val="Tiu2"/>
    <w:pPr>
      <w:ind w:left="4520"/>
      <w:outlineLvl w:val="1"/>
    </w:pPr>
    <w:rPr>
      <w:rFonts w:ascii="Times New Roman" w:eastAsia="Times New Roman" w:hAnsi="Times New Roman" w:cs="Times New Roman"/>
      <w:b/>
      <w:bCs/>
      <w:sz w:val="32"/>
      <w:szCs w:val="32"/>
    </w:rPr>
  </w:style>
  <w:style w:type="paragraph" w:customStyle="1" w:styleId="Tiu30">
    <w:name w:val="Tiêu đề #3"/>
    <w:basedOn w:val="Normal"/>
    <w:link w:val="Tiu3"/>
    <w:pPr>
      <w:spacing w:line="312" w:lineRule="auto"/>
      <w:ind w:firstLine="330"/>
      <w:outlineLvl w:val="2"/>
    </w:pPr>
    <w:rPr>
      <w:rFonts w:ascii="Times New Roman" w:eastAsia="Times New Roman" w:hAnsi="Times New Roman" w:cs="Times New Roman"/>
      <w:b/>
      <w:bCs/>
    </w:rPr>
  </w:style>
  <w:style w:type="paragraph" w:customStyle="1" w:styleId="Chthchbng0">
    <w:name w:val="Chú thích bảng"/>
    <w:basedOn w:val="Normal"/>
    <w:link w:val="Chthchbng"/>
    <w:pPr>
      <w:spacing w:line="314" w:lineRule="auto"/>
      <w:jc w:val="right"/>
    </w:pPr>
    <w:rPr>
      <w:rFonts w:ascii="Times New Roman" w:eastAsia="Times New Roman" w:hAnsi="Times New Roman" w:cs="Times New Roman"/>
    </w:rPr>
  </w:style>
  <w:style w:type="paragraph" w:customStyle="1" w:styleId="Khc0">
    <w:name w:val="Khác"/>
    <w:basedOn w:val="Normal"/>
    <w:link w:val="Khc"/>
    <w:pPr>
      <w:spacing w:line="312"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HxIIn0fIeiZO74r63Y3ERHpRsw==">CgMxLjA4AHIhMXRvaU95SG9KNlBzcy14MUlwZVRzU2U4NTNSdTJPSGd1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2024-06-04T04:40:00Z</dcterms:created>
  <dcterms:modified xsi:type="dcterms:W3CDTF">2024-06-06T06:47:00Z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06c1f4d28458eb99f722412cc23f260cfce8994424508a2b264d64e31786fe1c</vt:lpwstr>
  </property>
</Properties>
</file>