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58" w:rsidRPr="00FF78F2" w:rsidRDefault="00503A72" w:rsidP="00713237">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FF78F2">
        <w:rPr>
          <w:rFonts w:ascii="Arial" w:hAnsi="Arial" w:cs="Arial"/>
          <w:b/>
          <w:color w:val="010000"/>
          <w:sz w:val="20"/>
        </w:rPr>
        <w:t>RTB: Board Decision</w:t>
      </w:r>
    </w:p>
    <w:p w:rsidR="00542958" w:rsidRPr="00FF78F2" w:rsidRDefault="00503A72" w:rsidP="00713237">
      <w:pPr>
        <w:pBdr>
          <w:top w:val="nil"/>
          <w:left w:val="nil"/>
          <w:bottom w:val="nil"/>
          <w:right w:val="nil"/>
          <w:between w:val="nil"/>
        </w:pBdr>
        <w:spacing w:after="120" w:line="360" w:lineRule="auto"/>
        <w:rPr>
          <w:rFonts w:ascii="Arial" w:eastAsia="Arial" w:hAnsi="Arial" w:cs="Arial"/>
          <w:color w:val="010000"/>
          <w:sz w:val="20"/>
          <w:szCs w:val="20"/>
        </w:rPr>
      </w:pPr>
      <w:r w:rsidRPr="00FF78F2">
        <w:rPr>
          <w:rFonts w:ascii="Arial" w:hAnsi="Arial" w:cs="Arial"/>
          <w:color w:val="010000"/>
          <w:sz w:val="20"/>
        </w:rPr>
        <w:t>On June 04, 2024, Tanbien Rubber Joint Stock Company announced Decision No. 164/Q</w:t>
      </w:r>
      <w:r w:rsidR="001C41D5" w:rsidRPr="00FF78F2">
        <w:rPr>
          <w:rFonts w:ascii="Arial" w:hAnsi="Arial" w:cs="Arial"/>
          <w:color w:val="010000"/>
          <w:sz w:val="20"/>
        </w:rPr>
        <w:t>D</w:t>
      </w:r>
      <w:r w:rsidRPr="00FF78F2">
        <w:rPr>
          <w:rFonts w:ascii="Arial" w:hAnsi="Arial" w:cs="Arial"/>
          <w:color w:val="010000"/>
          <w:sz w:val="20"/>
        </w:rPr>
        <w:t>-HDQTCSTB on the approval of production and business plan 2024 as follows:</w:t>
      </w:r>
      <w:r w:rsidR="00713237" w:rsidRPr="00FF78F2">
        <w:rPr>
          <w:rFonts w:ascii="Arial" w:hAnsi="Arial" w:cs="Arial"/>
          <w:color w:val="010000"/>
          <w:sz w:val="20"/>
        </w:rPr>
        <w:t xml:space="preserve"> </w:t>
      </w:r>
    </w:p>
    <w:p w:rsidR="00542958" w:rsidRPr="00FF78F2" w:rsidRDefault="00503A72" w:rsidP="00713237">
      <w:pPr>
        <w:pBdr>
          <w:top w:val="nil"/>
          <w:left w:val="nil"/>
          <w:bottom w:val="nil"/>
          <w:right w:val="nil"/>
          <w:between w:val="nil"/>
        </w:pBdr>
        <w:spacing w:after="120" w:line="360" w:lineRule="auto"/>
        <w:rPr>
          <w:rFonts w:ascii="Arial" w:eastAsia="Arial" w:hAnsi="Arial" w:cs="Arial"/>
          <w:color w:val="010000"/>
          <w:sz w:val="20"/>
          <w:szCs w:val="20"/>
        </w:rPr>
      </w:pPr>
      <w:r w:rsidRPr="00FF78F2">
        <w:rPr>
          <w:rFonts w:ascii="Arial" w:hAnsi="Arial" w:cs="Arial"/>
          <w:color w:val="010000"/>
          <w:sz w:val="20"/>
        </w:rPr>
        <w:t xml:space="preserve">Article 1: Approve </w:t>
      </w:r>
      <w:r w:rsidR="001C41D5" w:rsidRPr="00FF78F2">
        <w:rPr>
          <w:rFonts w:ascii="Arial" w:hAnsi="Arial" w:cs="Arial"/>
          <w:color w:val="010000"/>
          <w:sz w:val="20"/>
        </w:rPr>
        <w:t xml:space="preserve">Plan on </w:t>
      </w:r>
      <w:r w:rsidRPr="00FF78F2">
        <w:rPr>
          <w:rFonts w:ascii="Arial" w:hAnsi="Arial" w:cs="Arial"/>
          <w:color w:val="010000"/>
          <w:sz w:val="20"/>
        </w:rPr>
        <w:t xml:space="preserve">production and business - </w:t>
      </w:r>
      <w:r w:rsidR="001C41D5" w:rsidRPr="00FF78F2">
        <w:rPr>
          <w:rFonts w:ascii="Arial" w:hAnsi="Arial" w:cs="Arial"/>
          <w:color w:val="010000"/>
          <w:sz w:val="20"/>
        </w:rPr>
        <w:t>Capital Construction</w:t>
      </w:r>
      <w:r w:rsidRPr="00FF78F2">
        <w:rPr>
          <w:rFonts w:ascii="Arial" w:hAnsi="Arial" w:cs="Arial"/>
          <w:color w:val="010000"/>
          <w:sz w:val="20"/>
        </w:rPr>
        <w:t xml:space="preserve"> Investment 2024 of Tanbien Rubber Joint Stock Company along with </w:t>
      </w:r>
      <w:r w:rsidR="001C41D5" w:rsidRPr="00FF78F2">
        <w:rPr>
          <w:rFonts w:ascii="Arial" w:hAnsi="Arial" w:cs="Arial"/>
          <w:color w:val="010000"/>
          <w:sz w:val="20"/>
        </w:rPr>
        <w:t>several</w:t>
      </w:r>
      <w:r w:rsidRPr="00FF78F2">
        <w:rPr>
          <w:rFonts w:ascii="Arial" w:hAnsi="Arial" w:cs="Arial"/>
          <w:color w:val="010000"/>
          <w:sz w:val="20"/>
        </w:rPr>
        <w:t xml:space="preserve"> main targets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5373"/>
        <w:gridCol w:w="1321"/>
        <w:gridCol w:w="1635"/>
      </w:tblGrid>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A</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Volume target</w:t>
            </w:r>
          </w:p>
        </w:tc>
        <w:tc>
          <w:tcPr>
            <w:tcW w:w="707" w:type="pct"/>
            <w:shd w:val="clear" w:color="auto" w:fill="auto"/>
            <w:tcMar>
              <w:top w:w="0" w:type="dxa"/>
              <w:bottom w:w="0" w:type="dxa"/>
            </w:tcMar>
            <w:vAlign w:val="center"/>
          </w:tcPr>
          <w:p w:rsidR="00542958" w:rsidRPr="00FF78F2" w:rsidRDefault="00542958" w:rsidP="00713237">
            <w:pPr>
              <w:pBdr>
                <w:top w:val="nil"/>
                <w:left w:val="nil"/>
                <w:bottom w:val="nil"/>
                <w:right w:val="nil"/>
                <w:between w:val="nil"/>
              </w:pBdr>
              <w:spacing w:after="120" w:line="360" w:lineRule="auto"/>
              <w:rPr>
                <w:rFonts w:ascii="Arial" w:eastAsia="Aptos" w:hAnsi="Arial" w:cs="Arial"/>
                <w:color w:val="010000"/>
                <w:sz w:val="20"/>
                <w:szCs w:val="20"/>
              </w:rPr>
            </w:pPr>
          </w:p>
        </w:tc>
        <w:tc>
          <w:tcPr>
            <w:tcW w:w="915" w:type="pct"/>
            <w:shd w:val="clear" w:color="auto" w:fill="auto"/>
            <w:tcMar>
              <w:top w:w="0" w:type="dxa"/>
              <w:bottom w:w="0" w:type="dxa"/>
            </w:tcMar>
            <w:vAlign w:val="center"/>
          </w:tcPr>
          <w:p w:rsidR="00542958" w:rsidRPr="00FF78F2" w:rsidRDefault="00542958" w:rsidP="00713237">
            <w:pPr>
              <w:pBdr>
                <w:top w:val="nil"/>
                <w:left w:val="nil"/>
                <w:bottom w:val="nil"/>
                <w:right w:val="nil"/>
                <w:between w:val="nil"/>
              </w:pBdr>
              <w:spacing w:after="120" w:line="360" w:lineRule="auto"/>
              <w:rPr>
                <w:rFonts w:ascii="Arial" w:eastAsia="Aptos" w:hAnsi="Arial" w:cs="Arial"/>
                <w:color w:val="010000"/>
                <w:sz w:val="20"/>
                <w:szCs w:val="20"/>
              </w:rPr>
            </w:pP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Total area</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5,717.78</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Rubber area</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5,641.04</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In which:</w:t>
            </w:r>
          </w:p>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Exploited rubber area</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2,369.62</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Rubber area exploited by the Company itself</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1,967.56</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1C41D5">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Rubber area with exploitation rights</w:t>
            </w:r>
            <w:r w:rsidR="001C41D5" w:rsidRPr="00FF78F2">
              <w:rPr>
                <w:rFonts w:ascii="Arial" w:hAnsi="Arial" w:cs="Arial"/>
                <w:color w:val="010000"/>
                <w:sz w:val="20"/>
              </w:rPr>
              <w:t xml:space="preserve"> sold</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402.06</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Rubber area in which rubber is in the vegetative phase</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FF78F2">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2,639</w:t>
            </w:r>
            <w:r w:rsidR="00FF78F2" w:rsidRPr="00FF78F2">
              <w:rPr>
                <w:rFonts w:ascii="Arial" w:hAnsi="Arial" w:cs="Arial"/>
                <w:color w:val="010000"/>
                <w:sz w:val="20"/>
              </w:rPr>
              <w:t>.</w:t>
            </w:r>
            <w:r w:rsidRPr="00FF78F2">
              <w:rPr>
                <w:rFonts w:ascii="Arial" w:hAnsi="Arial" w:cs="Arial"/>
                <w:color w:val="010000"/>
                <w:sz w:val="20"/>
              </w:rPr>
              <w:t>82</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Rubber area in </w:t>
            </w:r>
            <w:r w:rsidR="001C41D5" w:rsidRPr="00FF78F2">
              <w:rPr>
                <w:rFonts w:ascii="Arial" w:hAnsi="Arial" w:cs="Arial"/>
                <w:color w:val="010000"/>
                <w:sz w:val="20"/>
              </w:rPr>
              <w:t xml:space="preserve">the </w:t>
            </w:r>
            <w:r w:rsidRPr="00FF78F2">
              <w:rPr>
                <w:rFonts w:ascii="Arial" w:hAnsi="Arial" w:cs="Arial"/>
                <w:color w:val="010000"/>
                <w:sz w:val="20"/>
              </w:rPr>
              <w:t>recultivation phase</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631.60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The area of forestry trees and large timber forests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76.74</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Rubber yield</w:t>
            </w:r>
          </w:p>
        </w:tc>
        <w:tc>
          <w:tcPr>
            <w:tcW w:w="707"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1.27</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1C41D5" w:rsidP="001C41D5">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Rubber </w:t>
            </w:r>
            <w:r w:rsidR="00503A72" w:rsidRPr="00FF78F2">
              <w:rPr>
                <w:rFonts w:ascii="Arial" w:hAnsi="Arial" w:cs="Arial"/>
                <w:color w:val="010000"/>
                <w:sz w:val="20"/>
              </w:rPr>
              <w:t>yield in the plantation that the company exploited itself</w:t>
            </w:r>
          </w:p>
        </w:tc>
        <w:tc>
          <w:tcPr>
            <w:tcW w:w="707"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1.27</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1C41D5">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w:t>
            </w:r>
            <w:r w:rsidR="001C41D5" w:rsidRPr="00FF78F2">
              <w:rPr>
                <w:rFonts w:ascii="Arial" w:hAnsi="Arial" w:cs="Arial"/>
                <w:color w:val="010000"/>
                <w:sz w:val="20"/>
              </w:rPr>
              <w:t xml:space="preserve">Rubber </w:t>
            </w:r>
            <w:r w:rsidRPr="00FF78F2">
              <w:rPr>
                <w:rFonts w:ascii="Arial" w:hAnsi="Arial" w:cs="Arial"/>
                <w:color w:val="010000"/>
                <w:sz w:val="20"/>
              </w:rPr>
              <w:t>yield in the plantation with exploitation rights</w:t>
            </w:r>
            <w:r w:rsidR="001C41D5" w:rsidRPr="00FF78F2">
              <w:rPr>
                <w:rFonts w:ascii="Arial" w:hAnsi="Arial" w:cs="Arial"/>
                <w:color w:val="010000"/>
                <w:sz w:val="20"/>
              </w:rPr>
              <w:t xml:space="preserve"> sold</w:t>
            </w:r>
          </w:p>
        </w:tc>
        <w:tc>
          <w:tcPr>
            <w:tcW w:w="707"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Tons/Hectares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1.23</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Rubber yield in the plantation that the company exploited itself</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3,000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The yield of the area exploited by the Company</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Tons </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2,505</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w:t>
            </w:r>
            <w:r w:rsidR="00503A72" w:rsidRPr="00FF78F2">
              <w:rPr>
                <w:rFonts w:ascii="Arial" w:hAnsi="Arial" w:cs="Arial"/>
                <w:color w:val="010000"/>
                <w:sz w:val="20"/>
              </w:rPr>
              <w:t xml:space="preserve"> The yield of the area with exploitation rights</w:t>
            </w:r>
            <w:r w:rsidRPr="00FF78F2">
              <w:rPr>
                <w:rFonts w:ascii="Arial" w:hAnsi="Arial" w:cs="Arial"/>
                <w:color w:val="010000"/>
                <w:sz w:val="20"/>
              </w:rPr>
              <w:t xml:space="preserve"> sold</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495</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Yield of purchased rubber</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1,000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Rubber processing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3,505</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Self-exploited rubber processing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2,505</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Purchased rubber processing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1,000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6.</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Purchasing finished rubber products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8,000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7.</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Consumption</w:t>
            </w:r>
            <w:r w:rsidR="001C41D5" w:rsidRPr="00FF78F2">
              <w:rPr>
                <w:rFonts w:ascii="Arial" w:hAnsi="Arial" w:cs="Arial"/>
                <w:color w:val="010000"/>
                <w:sz w:val="20"/>
              </w:rPr>
              <w:t>.</w:t>
            </w:r>
            <w:r w:rsidRPr="00FF78F2">
              <w:rPr>
                <w:rFonts w:ascii="Arial" w:hAnsi="Arial" w:cs="Arial"/>
                <w:color w:val="010000"/>
                <w:sz w:val="20"/>
              </w:rPr>
              <w:t xml:space="preserve"> In which:</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11,500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Inventory </w:t>
            </w:r>
            <w:r w:rsidR="00503A72" w:rsidRPr="00FF78F2">
              <w:rPr>
                <w:rFonts w:ascii="Arial" w:hAnsi="Arial" w:cs="Arial"/>
                <w:color w:val="010000"/>
                <w:sz w:val="20"/>
              </w:rPr>
              <w:t xml:space="preserve">volume in the beginning of the year </w:t>
            </w:r>
          </w:p>
        </w:tc>
        <w:tc>
          <w:tcPr>
            <w:tcW w:w="707"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3,123</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Consumption </w:t>
            </w:r>
            <w:r w:rsidR="00503A72" w:rsidRPr="00FF78F2">
              <w:rPr>
                <w:rFonts w:ascii="Arial" w:hAnsi="Arial" w:cs="Arial"/>
                <w:color w:val="010000"/>
                <w:sz w:val="20"/>
              </w:rPr>
              <w:t>volume during the year</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11,500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Export and export consignment</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3,000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Internal consumption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8,500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w:t>
            </w:r>
          </w:p>
        </w:tc>
        <w:tc>
          <w:tcPr>
            <w:tcW w:w="2988"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Inventory </w:t>
            </w:r>
            <w:r w:rsidR="00503A72" w:rsidRPr="00FF78F2">
              <w:rPr>
                <w:rFonts w:ascii="Arial" w:hAnsi="Arial" w:cs="Arial"/>
                <w:color w:val="010000"/>
                <w:sz w:val="20"/>
              </w:rPr>
              <w:t>volume at the last term</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Tons</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3,128</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B.</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Value target </w:t>
            </w:r>
          </w:p>
        </w:tc>
        <w:tc>
          <w:tcPr>
            <w:tcW w:w="707"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915"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Total revenue</w:t>
            </w:r>
            <w:r w:rsidR="001C41D5" w:rsidRPr="00FF78F2">
              <w:rPr>
                <w:rFonts w:ascii="Arial" w:hAnsi="Arial" w:cs="Arial"/>
                <w:color w:val="010000"/>
                <w:sz w:val="20"/>
              </w:rPr>
              <w:t>.</w:t>
            </w:r>
            <w:r w:rsidRPr="00FF78F2">
              <w:rPr>
                <w:rFonts w:ascii="Arial" w:hAnsi="Arial" w:cs="Arial"/>
                <w:color w:val="010000"/>
                <w:sz w:val="20"/>
              </w:rPr>
              <w:t xml:space="preserve"> In which:</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647,586</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Rubber production and trading</w:t>
            </w:r>
            <w:r w:rsidR="001C41D5" w:rsidRPr="00FF78F2">
              <w:rPr>
                <w:rFonts w:ascii="Arial" w:hAnsi="Arial" w:cs="Arial"/>
                <w:color w:val="010000"/>
                <w:sz w:val="20"/>
              </w:rPr>
              <w:t>.</w:t>
            </w:r>
            <w:r w:rsidRPr="00FF78F2">
              <w:rPr>
                <w:rFonts w:ascii="Arial" w:hAnsi="Arial" w:cs="Arial"/>
                <w:color w:val="010000"/>
                <w:sz w:val="20"/>
              </w:rPr>
              <w:t xml:space="preserve"> Including:</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412,359</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Rubber revenue from the self-exploitation activity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94,550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Purchased rubber revenue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37,993</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1C41D5"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w:t>
            </w:r>
            <w:r w:rsidR="00503A72" w:rsidRPr="00FF78F2">
              <w:rPr>
                <w:rFonts w:ascii="Arial" w:hAnsi="Arial" w:cs="Arial"/>
                <w:color w:val="010000"/>
                <w:sz w:val="20"/>
              </w:rPr>
              <w:t>Revenue of finished rubber products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279,816</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Other business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250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1.3</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Financial activities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47,731</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1.4</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Other activities</w:t>
            </w:r>
            <w:r w:rsidR="001C41D5" w:rsidRPr="00FF78F2">
              <w:rPr>
                <w:rFonts w:ascii="Arial" w:hAnsi="Arial" w:cs="Arial"/>
                <w:color w:val="010000"/>
                <w:sz w:val="20"/>
              </w:rPr>
              <w:t>.</w:t>
            </w:r>
            <w:r w:rsidRPr="00FF78F2">
              <w:rPr>
                <w:rFonts w:ascii="Arial" w:hAnsi="Arial" w:cs="Arial"/>
                <w:color w:val="010000"/>
                <w:sz w:val="20"/>
              </w:rPr>
              <w:t xml:space="preserve"> In which:</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187,246</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Liquidation of cultivated plantations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180,831</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Total expenses: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418,585</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Profit before tax</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229,001</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Profit after tax</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192,366</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Profit before tax/Revenue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35.36</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6.</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Profit before tax/charter capital at the end of </w:t>
            </w:r>
            <w:r w:rsidR="001C41D5" w:rsidRPr="00FF78F2">
              <w:rPr>
                <w:rFonts w:ascii="Arial" w:hAnsi="Arial" w:cs="Arial"/>
                <w:color w:val="010000"/>
                <w:sz w:val="20"/>
              </w:rPr>
              <w:t xml:space="preserve">the </w:t>
            </w:r>
            <w:r w:rsidRPr="00FF78F2">
              <w:rPr>
                <w:rFonts w:ascii="Arial" w:hAnsi="Arial" w:cs="Arial"/>
                <w:color w:val="010000"/>
                <w:sz w:val="20"/>
              </w:rPr>
              <w:t xml:space="preserve">reporting period (%)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26.04</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7.</w:t>
            </w:r>
          </w:p>
        </w:tc>
        <w:tc>
          <w:tcPr>
            <w:tcW w:w="2988" w:type="pct"/>
            <w:shd w:val="clear" w:color="auto" w:fill="auto"/>
            <w:tcMar>
              <w:top w:w="0" w:type="dxa"/>
              <w:bottom w:w="0" w:type="dxa"/>
            </w:tcMar>
            <w:vAlign w:val="center"/>
          </w:tcPr>
          <w:p w:rsidR="00542958" w:rsidRPr="00FF78F2" w:rsidRDefault="001C41D5" w:rsidP="001C41D5">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Minimum dividend payment </w:t>
            </w:r>
            <w:r w:rsidR="00503A72" w:rsidRPr="00FF78F2">
              <w:rPr>
                <w:rFonts w:ascii="Arial" w:hAnsi="Arial" w:cs="Arial"/>
                <w:color w:val="010000"/>
                <w:sz w:val="20"/>
              </w:rPr>
              <w:t>(%</w:t>
            </w:r>
            <w:r w:rsidRPr="00FF78F2">
              <w:rPr>
                <w:rFonts w:ascii="Arial" w:hAnsi="Arial" w:cs="Arial"/>
                <w:color w:val="010000"/>
                <w:sz w:val="20"/>
              </w:rPr>
              <w:t xml:space="preserve"> of par value of share</w:t>
            </w:r>
            <w:r w:rsidR="00503A72" w:rsidRPr="00FF78F2">
              <w:rPr>
                <w:rFonts w:ascii="Arial" w:hAnsi="Arial" w:cs="Arial"/>
                <w:color w:val="010000"/>
                <w:sz w:val="20"/>
              </w:rPr>
              <w:t>)</w:t>
            </w:r>
            <w:r w:rsidR="00713237" w:rsidRPr="00FF78F2">
              <w:rPr>
                <w:rFonts w:ascii="Arial" w:hAnsi="Arial" w:cs="Arial"/>
                <w:color w:val="010000"/>
                <w:sz w:val="20"/>
              </w:rPr>
              <w:t xml:space="preserve">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Payable to the State budget</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71,876</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C.</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Investment targets</w:t>
            </w:r>
          </w:p>
        </w:tc>
        <w:tc>
          <w:tcPr>
            <w:tcW w:w="707"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915"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Total capital demand</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84,330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Capital construction investment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79,530</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Construction and installation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54,458</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In which: Agricultural construction</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46,252</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Equipment</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9,816</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1C41D5">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 </w:t>
            </w:r>
            <w:r w:rsidR="001C41D5" w:rsidRPr="00FF78F2">
              <w:rPr>
                <w:rFonts w:ascii="Arial" w:hAnsi="Arial" w:cs="Arial"/>
                <w:color w:val="010000"/>
                <w:sz w:val="20"/>
              </w:rPr>
              <w:t xml:space="preserve">Other capital </w:t>
            </w:r>
            <w:r w:rsidRPr="00FF78F2">
              <w:rPr>
                <w:rFonts w:ascii="Arial" w:hAnsi="Arial" w:cs="Arial"/>
                <w:color w:val="010000"/>
                <w:sz w:val="20"/>
              </w:rPr>
              <w:t>used for vegetative phase</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13,391</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In which: Land rent expenses</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9,617</w:t>
            </w:r>
          </w:p>
        </w:tc>
      </w:tr>
      <w:tr w:rsidR="00542958" w:rsidRPr="00FF78F2" w:rsidTr="00713237">
        <w:tc>
          <w:tcPr>
            <w:tcW w:w="390" w:type="pct"/>
            <w:shd w:val="clear" w:color="auto" w:fill="auto"/>
            <w:tcMar>
              <w:top w:w="0" w:type="dxa"/>
              <w:bottom w:w="0" w:type="dxa"/>
            </w:tcMar>
            <w:vAlign w:val="center"/>
          </w:tcPr>
          <w:p w:rsidR="00542958" w:rsidRPr="00FF78F2" w:rsidRDefault="00542958" w:rsidP="00713237">
            <w:pPr>
              <w:spacing w:after="120" w:line="360" w:lineRule="auto"/>
              <w:rPr>
                <w:rFonts w:ascii="Arial" w:eastAsia="Aptos" w:hAnsi="Arial" w:cs="Arial"/>
                <w:color w:val="010000"/>
                <w:sz w:val="20"/>
                <w:szCs w:val="20"/>
              </w:rPr>
            </w:pP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Payable interest loans to Bank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1,865</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Long term credit loans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4,800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II</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Capital resource</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84,330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Owners’ equity</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53,360</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2.</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 xml:space="preserve">Science and technology development fund </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11,595</w:t>
            </w:r>
          </w:p>
        </w:tc>
      </w:tr>
      <w:tr w:rsidR="00542958" w:rsidRPr="00FF78F2" w:rsidTr="00713237">
        <w:tc>
          <w:tcPr>
            <w:tcW w:w="390"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3.</w:t>
            </w:r>
          </w:p>
        </w:tc>
        <w:tc>
          <w:tcPr>
            <w:tcW w:w="2988"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Domestic borrowing</w:t>
            </w:r>
          </w:p>
        </w:tc>
        <w:tc>
          <w:tcPr>
            <w:tcW w:w="707"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Million VND</w:t>
            </w:r>
          </w:p>
        </w:tc>
        <w:tc>
          <w:tcPr>
            <w:tcW w:w="915" w:type="pct"/>
            <w:shd w:val="clear" w:color="auto" w:fill="auto"/>
            <w:tcMar>
              <w:top w:w="0" w:type="dxa"/>
              <w:bottom w:w="0" w:type="dxa"/>
            </w:tcMar>
            <w:vAlign w:val="center"/>
          </w:tcPr>
          <w:p w:rsidR="00542958" w:rsidRPr="00FF78F2" w:rsidRDefault="00503A72" w:rsidP="00713237">
            <w:pPr>
              <w:pBdr>
                <w:top w:val="nil"/>
                <w:left w:val="nil"/>
                <w:bottom w:val="nil"/>
                <w:right w:val="nil"/>
                <w:between w:val="nil"/>
              </w:pBdr>
              <w:spacing w:after="120" w:line="360" w:lineRule="auto"/>
              <w:rPr>
                <w:rFonts w:ascii="Arial" w:eastAsia="Aptos" w:hAnsi="Arial" w:cs="Arial"/>
                <w:color w:val="010000"/>
                <w:sz w:val="20"/>
                <w:szCs w:val="20"/>
              </w:rPr>
            </w:pPr>
            <w:r w:rsidRPr="00FF78F2">
              <w:rPr>
                <w:rFonts w:ascii="Arial" w:hAnsi="Arial" w:cs="Arial"/>
                <w:color w:val="010000"/>
                <w:sz w:val="20"/>
              </w:rPr>
              <w:t>19,375</w:t>
            </w:r>
          </w:p>
        </w:tc>
      </w:tr>
    </w:tbl>
    <w:p w:rsidR="00542958" w:rsidRPr="00FF78F2" w:rsidRDefault="00503A72" w:rsidP="0071323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FF78F2">
        <w:rPr>
          <w:rFonts w:ascii="Arial" w:hAnsi="Arial" w:cs="Arial"/>
          <w:color w:val="010000"/>
          <w:sz w:val="20"/>
        </w:rPr>
        <w:t xml:space="preserve">‎‎Article 2. Assign the General Manager to organize and implement: </w:t>
      </w:r>
    </w:p>
    <w:p w:rsidR="00542958" w:rsidRPr="00FF78F2" w:rsidRDefault="00503A72" w:rsidP="00713237">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FF78F2">
        <w:rPr>
          <w:rFonts w:ascii="Arial" w:hAnsi="Arial" w:cs="Arial"/>
          <w:color w:val="010000"/>
          <w:sz w:val="20"/>
        </w:rPr>
        <w:t xml:space="preserve">Continue to review, inspect and organize the implementation of the business and production plan 2024 with a focus on cost control to ensure the minimum profit target for the planned year. </w:t>
      </w:r>
    </w:p>
    <w:p w:rsidR="00542958" w:rsidRPr="00FF78F2" w:rsidRDefault="00503A72" w:rsidP="00713237">
      <w:pPr>
        <w:numPr>
          <w:ilvl w:val="0"/>
          <w:numId w:val="1"/>
        </w:numPr>
        <w:pBdr>
          <w:top w:val="nil"/>
          <w:left w:val="nil"/>
          <w:bottom w:val="nil"/>
          <w:right w:val="nil"/>
          <w:between w:val="nil"/>
        </w:pBdr>
        <w:tabs>
          <w:tab w:val="left" w:pos="567"/>
          <w:tab w:val="left" w:pos="1083"/>
        </w:tabs>
        <w:spacing w:after="120" w:line="360" w:lineRule="auto"/>
        <w:rPr>
          <w:rFonts w:ascii="Arial" w:eastAsia="Arial" w:hAnsi="Arial" w:cs="Arial"/>
          <w:color w:val="010000"/>
          <w:sz w:val="20"/>
          <w:szCs w:val="20"/>
        </w:rPr>
      </w:pPr>
      <w:r w:rsidRPr="00FF78F2">
        <w:rPr>
          <w:rFonts w:ascii="Arial" w:hAnsi="Arial" w:cs="Arial"/>
          <w:color w:val="010000"/>
          <w:sz w:val="20"/>
        </w:rPr>
        <w:t xml:space="preserve">In case when the planned revenue does not meet expectations, the Executive Board must autonomously carry out cost adjustments to meet the assigned targets with an appropriate level and aligned with practical conditions and market trends. </w:t>
      </w:r>
    </w:p>
    <w:p w:rsidR="00542958" w:rsidRPr="00FF78F2" w:rsidRDefault="00503A72" w:rsidP="00713237">
      <w:pPr>
        <w:numPr>
          <w:ilvl w:val="0"/>
          <w:numId w:val="1"/>
        </w:numPr>
        <w:pBdr>
          <w:top w:val="nil"/>
          <w:left w:val="nil"/>
          <w:bottom w:val="nil"/>
          <w:right w:val="nil"/>
          <w:between w:val="nil"/>
        </w:pBdr>
        <w:tabs>
          <w:tab w:val="left" w:pos="567"/>
          <w:tab w:val="left" w:pos="1088"/>
        </w:tabs>
        <w:spacing w:after="120" w:line="360" w:lineRule="auto"/>
        <w:rPr>
          <w:rFonts w:ascii="Arial" w:eastAsia="Arial" w:hAnsi="Arial" w:cs="Arial"/>
          <w:color w:val="010000"/>
          <w:sz w:val="20"/>
          <w:szCs w:val="20"/>
        </w:rPr>
      </w:pPr>
      <w:r w:rsidRPr="00FF78F2">
        <w:rPr>
          <w:rFonts w:ascii="Arial" w:hAnsi="Arial" w:cs="Arial"/>
          <w:color w:val="010000"/>
          <w:sz w:val="20"/>
        </w:rPr>
        <w:t>Develop and implement appropriate solutions to complete the assigned plan based on cost-saving measures, ensure production and business efficiency in compliance with legal regulations.</w:t>
      </w:r>
    </w:p>
    <w:p w:rsidR="00542958" w:rsidRPr="00FF78F2" w:rsidRDefault="00503A72" w:rsidP="00713237">
      <w:pPr>
        <w:numPr>
          <w:ilvl w:val="0"/>
          <w:numId w:val="1"/>
        </w:numPr>
        <w:pBdr>
          <w:top w:val="nil"/>
          <w:left w:val="nil"/>
          <w:bottom w:val="nil"/>
          <w:right w:val="nil"/>
          <w:between w:val="nil"/>
        </w:pBdr>
        <w:tabs>
          <w:tab w:val="left" w:pos="567"/>
          <w:tab w:val="left" w:pos="1083"/>
        </w:tabs>
        <w:spacing w:after="120" w:line="360" w:lineRule="auto"/>
        <w:rPr>
          <w:rFonts w:ascii="Arial" w:eastAsia="Arial" w:hAnsi="Arial" w:cs="Arial"/>
          <w:color w:val="010000"/>
          <w:sz w:val="20"/>
          <w:szCs w:val="20"/>
        </w:rPr>
      </w:pPr>
      <w:r w:rsidRPr="00FF78F2">
        <w:rPr>
          <w:rFonts w:ascii="Arial" w:hAnsi="Arial" w:cs="Arial"/>
          <w:color w:val="010000"/>
          <w:sz w:val="20"/>
        </w:rPr>
        <w:t xml:space="preserve">Implement according to the provisions in Section 2, Part IV of document No. 206/HDQTCSVN-KHDT dated March 29, 2024 of Viet Nam Rubber Group- Joint Stock Company. </w:t>
      </w:r>
    </w:p>
    <w:p w:rsidR="00542958" w:rsidRPr="00FF78F2" w:rsidRDefault="00503A72" w:rsidP="00713237">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FF78F2">
        <w:rPr>
          <w:rFonts w:ascii="Arial" w:hAnsi="Arial" w:cs="Arial"/>
          <w:color w:val="010000"/>
          <w:sz w:val="20"/>
        </w:rPr>
        <w:t xml:space="preserve">Depend on the practical conditions, in case of any changes, adjustment in the </w:t>
      </w:r>
      <w:r w:rsidR="00FF78F2" w:rsidRPr="00FF78F2">
        <w:rPr>
          <w:rFonts w:ascii="Arial" w:hAnsi="Arial" w:cs="Arial"/>
          <w:color w:val="010000"/>
          <w:sz w:val="20"/>
        </w:rPr>
        <w:t xml:space="preserve">plan on </w:t>
      </w:r>
      <w:r w:rsidRPr="00FF78F2">
        <w:rPr>
          <w:rFonts w:ascii="Arial" w:hAnsi="Arial" w:cs="Arial"/>
          <w:color w:val="010000"/>
          <w:sz w:val="20"/>
        </w:rPr>
        <w:t xml:space="preserve">production and business -capital construction investment 2024, the Executive Board shall report to the Board of Directors for the submission and guidance of the Corporation’s Managers. </w:t>
      </w:r>
      <w:r w:rsidRPr="00FF78F2">
        <w:rPr>
          <w:rFonts w:ascii="Arial" w:hAnsi="Arial" w:cs="Arial"/>
          <w:color w:val="010000"/>
          <w:sz w:val="20"/>
        </w:rPr>
        <w:tab/>
      </w:r>
    </w:p>
    <w:p w:rsidR="00542958" w:rsidRPr="00FF78F2" w:rsidRDefault="00503A72" w:rsidP="00713237">
      <w:pPr>
        <w:pBdr>
          <w:top w:val="nil"/>
          <w:left w:val="nil"/>
          <w:bottom w:val="nil"/>
          <w:right w:val="nil"/>
          <w:between w:val="nil"/>
        </w:pBdr>
        <w:tabs>
          <w:tab w:val="left" w:pos="8928"/>
        </w:tabs>
        <w:spacing w:after="120" w:line="360" w:lineRule="auto"/>
        <w:rPr>
          <w:rFonts w:ascii="Arial" w:eastAsia="Arial" w:hAnsi="Arial" w:cs="Arial"/>
          <w:color w:val="010000"/>
          <w:sz w:val="20"/>
          <w:szCs w:val="20"/>
        </w:rPr>
      </w:pPr>
      <w:r w:rsidRPr="00FF78F2">
        <w:rPr>
          <w:rFonts w:ascii="Arial" w:hAnsi="Arial" w:cs="Arial"/>
          <w:color w:val="010000"/>
          <w:sz w:val="20"/>
        </w:rPr>
        <w:t>‎‎Article 3. Members of the Board of Directors, the General Manager, Heads of Departments, units are responsible for the implementation of this Board Decision./.</w:t>
      </w:r>
      <w:r w:rsidRPr="00FF78F2">
        <w:rPr>
          <w:rFonts w:ascii="Arial" w:hAnsi="Arial" w:cs="Arial"/>
          <w:color w:val="010000"/>
          <w:sz w:val="20"/>
        </w:rPr>
        <w:tab/>
      </w:r>
    </w:p>
    <w:sectPr w:rsidR="00542958" w:rsidRPr="00FF78F2" w:rsidSect="00713237">
      <w:footerReference w:type="default" r:id="rId8"/>
      <w:pgSz w:w="11906" w:h="16834"/>
      <w:pgMar w:top="1440" w:right="1440" w:bottom="1440" w:left="1440" w:header="1225" w:footer="888"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F1" w:rsidRDefault="00FA19F1">
      <w:r>
        <w:separator/>
      </w:r>
    </w:p>
  </w:endnote>
  <w:endnote w:type="continuationSeparator" w:id="0">
    <w:p w:rsidR="00FA19F1" w:rsidRDefault="00F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58" w:rsidRDefault="00542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F1" w:rsidRDefault="00FA19F1">
      <w:r>
        <w:separator/>
      </w:r>
    </w:p>
  </w:footnote>
  <w:footnote w:type="continuationSeparator" w:id="0">
    <w:p w:rsidR="00FA19F1" w:rsidRDefault="00FA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1D60"/>
    <w:multiLevelType w:val="multilevel"/>
    <w:tmpl w:val="4830F114"/>
    <w:lvl w:ilvl="0">
      <w:start w:val="1"/>
      <w:numFmt w:val="bullet"/>
      <w:lvlText w:val="-"/>
      <w:lvlJc w:val="left"/>
      <w:pPr>
        <w:ind w:left="0" w:firstLine="0"/>
      </w:pPr>
      <w:rPr>
        <w:rFonts w:ascii="Aptos" w:eastAsia="Aptos" w:hAnsi="Aptos" w:cs="Aptos"/>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58"/>
    <w:rsid w:val="0003520F"/>
    <w:rsid w:val="001C41D5"/>
    <w:rsid w:val="00503A72"/>
    <w:rsid w:val="00542958"/>
    <w:rsid w:val="00713237"/>
    <w:rsid w:val="00D11FD5"/>
    <w:rsid w:val="00DF74A2"/>
    <w:rsid w:val="00FA19F1"/>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16890-0720-4FC5-9EC0-038F4111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4"/>
      <w:szCs w:val="24"/>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ind w:left="6460"/>
    </w:pPr>
    <w:rPr>
      <w:rFonts w:ascii="Arial" w:eastAsia="Arial" w:hAnsi="Arial" w:cs="Arial"/>
    </w:rPr>
  </w:style>
  <w:style w:type="character" w:customStyle="1" w:styleId="Heading10">
    <w:name w:val="Heading #1_"/>
    <w:basedOn w:val="DefaultParagraphFont"/>
    <w:link w:val="Heading11"/>
    <w:rsid w:val="00BF0189"/>
    <w:rPr>
      <w:rFonts w:ascii="Times New Roman" w:eastAsia="Times New Roman" w:hAnsi="Times New Roman" w:cs="Times New Roman"/>
      <w:b/>
      <w:bCs/>
    </w:rPr>
  </w:style>
  <w:style w:type="paragraph" w:customStyle="1" w:styleId="Heading11">
    <w:name w:val="Heading #1"/>
    <w:basedOn w:val="Normal"/>
    <w:link w:val="Heading10"/>
    <w:rsid w:val="00BF0189"/>
    <w:pPr>
      <w:jc w:val="center"/>
      <w:outlineLvl w:val="0"/>
    </w:pPr>
    <w:rPr>
      <w:rFonts w:ascii="Times New Roman" w:eastAsia="Times New Roman" w:hAnsi="Times New Roman" w:cs="Times New Roman"/>
      <w:b/>
      <w:bCs/>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LZZfsNI5eORbq4AQsa1n+rZLzQ==">CgMxLjA4AHIhMVdrb2dRcjZMeXVEODZkMzBjcExMdDhoM3hKU0xjLVdQ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2024-06-07T06:15:00Z</dcterms:created>
  <dcterms:modified xsi:type="dcterms:W3CDTF">2024-06-07T06:15:00Z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f8b506e439fea6d28f671a9212826ba4c3e5ba45747593fd6ce7e0eeb91f88ea</vt:lpwstr>
  </property>
</Properties>
</file>