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F6A89">
        <w:rPr>
          <w:rFonts w:ascii="Arial" w:hAnsi="Arial" w:cs="Arial"/>
          <w:b/>
          <w:bCs/>
          <w:color w:val="010000"/>
          <w:sz w:val="20"/>
        </w:rPr>
        <w:t>E12:</w:t>
      </w:r>
      <w:r w:rsidRPr="00CF6A89">
        <w:rPr>
          <w:rFonts w:ascii="Arial" w:hAnsi="Arial" w:cs="Arial"/>
          <w:b/>
          <w:color w:val="010000"/>
          <w:sz w:val="20"/>
        </w:rPr>
        <w:t xml:space="preserve"> Annual General Mandate 2024</w:t>
      </w:r>
    </w:p>
    <w:p w14:paraId="00000002"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On May 30, 2024, Vneco12 Electricity Construction Joint Stock Company announced General Mandate No. 02 NQ/2024/VNECO12 - DHCD as follows:</w:t>
      </w:r>
    </w:p>
    <w:p w14:paraId="00000003" w14:textId="38BC8E28"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 xml:space="preserve">Article 1: Approve the meeting agenda and report on the results of </w:t>
      </w:r>
      <w:r w:rsidR="00815DFC" w:rsidRPr="00CF6A89">
        <w:rPr>
          <w:rFonts w:ascii="Arial" w:hAnsi="Arial" w:cs="Arial"/>
          <w:color w:val="010000"/>
          <w:sz w:val="20"/>
        </w:rPr>
        <w:t>verifying</w:t>
      </w:r>
      <w:r w:rsidRPr="00CF6A89">
        <w:rPr>
          <w:rFonts w:ascii="Arial" w:hAnsi="Arial" w:cs="Arial"/>
          <w:color w:val="010000"/>
          <w:sz w:val="20"/>
        </w:rPr>
        <w:t xml:space="preserve"> the eligibility of shareholders to attend the Annual General Meeting of Shareholders 2024.</w:t>
      </w:r>
    </w:p>
    <w:p w14:paraId="00000004" w14:textId="365BE425" w:rsidR="00941F82" w:rsidRPr="00CF6A89" w:rsidRDefault="00CF6A89" w:rsidP="009C5D31">
      <w:pPr>
        <w:numPr>
          <w:ilvl w:val="0"/>
          <w:numId w:val="11"/>
        </w:numPr>
        <w:pBdr>
          <w:top w:val="nil"/>
          <w:left w:val="nil"/>
          <w:bottom w:val="nil"/>
          <w:right w:val="nil"/>
          <w:between w:val="nil"/>
        </w:pBdr>
        <w:tabs>
          <w:tab w:val="left" w:pos="432"/>
          <w:tab w:val="left" w:pos="1214"/>
        </w:tabs>
        <w:spacing w:after="120" w:line="360" w:lineRule="auto"/>
        <w:jc w:val="both"/>
        <w:rPr>
          <w:rFonts w:ascii="Arial" w:eastAsia="Arial" w:hAnsi="Arial" w:cs="Arial"/>
          <w:color w:val="010000"/>
          <w:sz w:val="20"/>
          <w:szCs w:val="20"/>
        </w:rPr>
      </w:pPr>
      <w:r w:rsidRPr="00CF6A89">
        <w:rPr>
          <w:rFonts w:ascii="Arial" w:hAnsi="Arial" w:cs="Arial"/>
          <w:color w:val="010000"/>
          <w:sz w:val="20"/>
        </w:rPr>
        <w:t>The total number of shareholders according to the notice summoned to attend the meeting: 152 shareholders</w:t>
      </w:r>
    </w:p>
    <w:p w14:paraId="00000005" w14:textId="7E6F45AF" w:rsidR="00941F82" w:rsidRPr="00CF6A89" w:rsidRDefault="00CF6A89" w:rsidP="009C5D31">
      <w:pPr>
        <w:numPr>
          <w:ilvl w:val="0"/>
          <w:numId w:val="11"/>
        </w:numPr>
        <w:pBdr>
          <w:top w:val="nil"/>
          <w:left w:val="nil"/>
          <w:bottom w:val="nil"/>
          <w:right w:val="nil"/>
          <w:between w:val="nil"/>
        </w:pBdr>
        <w:tabs>
          <w:tab w:val="left" w:pos="432"/>
          <w:tab w:val="left" w:pos="1214"/>
        </w:tabs>
        <w:spacing w:after="120" w:line="360" w:lineRule="auto"/>
        <w:jc w:val="both"/>
        <w:rPr>
          <w:rFonts w:ascii="Arial" w:eastAsia="Arial" w:hAnsi="Arial" w:cs="Arial"/>
          <w:color w:val="010000"/>
          <w:sz w:val="20"/>
          <w:szCs w:val="20"/>
        </w:rPr>
      </w:pPr>
      <w:r w:rsidRPr="00CF6A89">
        <w:rPr>
          <w:rFonts w:ascii="Arial" w:hAnsi="Arial" w:cs="Arial"/>
          <w:color w:val="010000"/>
          <w:sz w:val="20"/>
        </w:rPr>
        <w:t>The total number of actual shareholders attending the meeting: 12 shareholders.</w:t>
      </w:r>
    </w:p>
    <w:p w14:paraId="00000006" w14:textId="7D685538" w:rsidR="00941F82" w:rsidRPr="00CF6A89" w:rsidRDefault="00CF6A89" w:rsidP="009C5D31">
      <w:pPr>
        <w:numPr>
          <w:ilvl w:val="0"/>
          <w:numId w:val="11"/>
        </w:numPr>
        <w:pBdr>
          <w:top w:val="nil"/>
          <w:left w:val="nil"/>
          <w:bottom w:val="nil"/>
          <w:right w:val="nil"/>
          <w:between w:val="nil"/>
        </w:pBdr>
        <w:tabs>
          <w:tab w:val="left" w:pos="432"/>
          <w:tab w:val="left" w:pos="1214"/>
        </w:tabs>
        <w:spacing w:after="120" w:line="360" w:lineRule="auto"/>
        <w:jc w:val="both"/>
        <w:rPr>
          <w:rFonts w:ascii="Arial" w:eastAsia="Arial" w:hAnsi="Arial" w:cs="Arial"/>
          <w:color w:val="010000"/>
          <w:sz w:val="20"/>
          <w:szCs w:val="20"/>
        </w:rPr>
      </w:pPr>
      <w:r w:rsidRPr="00CF6A89">
        <w:rPr>
          <w:rFonts w:ascii="Arial" w:hAnsi="Arial" w:cs="Arial"/>
          <w:color w:val="010000"/>
          <w:sz w:val="20"/>
        </w:rPr>
        <w:t>The total number of shares with voting rights attending the meeting: 947,516 shares (</w:t>
      </w:r>
      <w:r w:rsidR="0032756D" w:rsidRPr="00CF6A89">
        <w:rPr>
          <w:rFonts w:ascii="Arial" w:hAnsi="Arial" w:cs="Arial"/>
          <w:color w:val="010000"/>
          <w:sz w:val="20"/>
        </w:rPr>
        <w:t>including voting shares authorized to attend the meeting</w:t>
      </w:r>
      <w:r w:rsidRPr="00CF6A89">
        <w:rPr>
          <w:rFonts w:ascii="Arial" w:hAnsi="Arial" w:cs="Arial"/>
          <w:color w:val="010000"/>
          <w:sz w:val="20"/>
        </w:rPr>
        <w:t>)</w:t>
      </w:r>
    </w:p>
    <w:p w14:paraId="00000007" w14:textId="77777777" w:rsidR="00941F82" w:rsidRPr="00CF6A89" w:rsidRDefault="00CF6A89" w:rsidP="009C5D31">
      <w:pPr>
        <w:numPr>
          <w:ilvl w:val="0"/>
          <w:numId w:val="11"/>
        </w:numPr>
        <w:pBdr>
          <w:top w:val="nil"/>
          <w:left w:val="nil"/>
          <w:bottom w:val="nil"/>
          <w:right w:val="nil"/>
          <w:between w:val="nil"/>
        </w:pBdr>
        <w:tabs>
          <w:tab w:val="left" w:pos="432"/>
          <w:tab w:val="left" w:pos="1214"/>
        </w:tabs>
        <w:spacing w:after="120" w:line="360" w:lineRule="auto"/>
        <w:jc w:val="both"/>
        <w:rPr>
          <w:rFonts w:ascii="Arial" w:eastAsia="Arial" w:hAnsi="Arial" w:cs="Arial"/>
          <w:color w:val="010000"/>
          <w:sz w:val="20"/>
          <w:szCs w:val="20"/>
        </w:rPr>
      </w:pPr>
      <w:r w:rsidRPr="00CF6A89">
        <w:rPr>
          <w:rFonts w:ascii="Arial" w:hAnsi="Arial" w:cs="Arial"/>
          <w:color w:val="010000"/>
          <w:sz w:val="20"/>
        </w:rPr>
        <w:t>Account for 78.96% of the Company's total voting shares</w:t>
      </w:r>
    </w:p>
    <w:p w14:paraId="00000008"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Article 2: Approve the Report on production and business results in 2023 and the Production and Business Plan for 2024;</w:t>
      </w:r>
    </w:p>
    <w:p w14:paraId="00000009" w14:textId="6B42FF78" w:rsidR="00941F82" w:rsidRPr="00CF6A89" w:rsidRDefault="002C1BD0" w:rsidP="009C5D31">
      <w:pPr>
        <w:keepNext/>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A</w:t>
      </w:r>
      <w:r w:rsidR="0032756D" w:rsidRPr="00CF6A89">
        <w:rPr>
          <w:rFonts w:ascii="Arial" w:hAnsi="Arial" w:cs="Arial"/>
          <w:color w:val="010000"/>
          <w:sz w:val="20"/>
        </w:rPr>
        <w:t>chieved</w:t>
      </w:r>
      <w:r w:rsidRPr="00CF6A89">
        <w:rPr>
          <w:rFonts w:ascii="Arial" w:hAnsi="Arial" w:cs="Arial"/>
          <w:color w:val="010000"/>
          <w:sz w:val="20"/>
        </w:rPr>
        <w:t xml:space="preserve"> targets in 2023:</w:t>
      </w:r>
    </w:p>
    <w:p w14:paraId="0000000A" w14:textId="584C9BE3" w:rsidR="00941F82" w:rsidRPr="00CF6A89" w:rsidRDefault="0032756D" w:rsidP="009C5D31">
      <w:pPr>
        <w:numPr>
          <w:ilvl w:val="0"/>
          <w:numId w:val="11"/>
        </w:numPr>
        <w:pBdr>
          <w:top w:val="nil"/>
          <w:left w:val="nil"/>
          <w:bottom w:val="nil"/>
          <w:right w:val="nil"/>
          <w:between w:val="nil"/>
        </w:pBdr>
        <w:tabs>
          <w:tab w:val="left" w:pos="432"/>
          <w:tab w:val="left" w:pos="1299"/>
        </w:tabs>
        <w:spacing w:after="120" w:line="360" w:lineRule="auto"/>
        <w:jc w:val="both"/>
        <w:rPr>
          <w:rFonts w:ascii="Arial" w:eastAsia="Arial" w:hAnsi="Arial" w:cs="Arial"/>
          <w:color w:val="010000"/>
          <w:sz w:val="20"/>
          <w:szCs w:val="20"/>
        </w:rPr>
      </w:pPr>
      <w:r w:rsidRPr="00CF6A89">
        <w:rPr>
          <w:rFonts w:ascii="Arial" w:hAnsi="Arial" w:cs="Arial"/>
          <w:color w:val="010000"/>
          <w:sz w:val="20"/>
        </w:rPr>
        <w:t>Total revenue: VND 31</w:t>
      </w:r>
      <w:r w:rsidR="00CF6A89" w:rsidRPr="00CF6A89">
        <w:rPr>
          <w:rFonts w:ascii="Arial" w:hAnsi="Arial" w:cs="Arial"/>
          <w:color w:val="010000"/>
          <w:sz w:val="20"/>
        </w:rPr>
        <w:t>.</w:t>
      </w:r>
      <w:r w:rsidRPr="00CF6A89">
        <w:rPr>
          <w:rFonts w:ascii="Arial" w:hAnsi="Arial" w:cs="Arial"/>
          <w:color w:val="010000"/>
          <w:sz w:val="20"/>
        </w:rPr>
        <w:t>156 billion, equal to 34.61% of the plan in 2023.</w:t>
      </w:r>
    </w:p>
    <w:p w14:paraId="0000000B" w14:textId="77D5D8EF" w:rsidR="00941F82" w:rsidRPr="00CF6A89" w:rsidRDefault="002C1BD0" w:rsidP="009C5D31">
      <w:pPr>
        <w:numPr>
          <w:ilvl w:val="0"/>
          <w:numId w:val="1"/>
        </w:numPr>
        <w:pBdr>
          <w:top w:val="nil"/>
          <w:left w:val="nil"/>
          <w:bottom w:val="nil"/>
          <w:right w:val="nil"/>
          <w:between w:val="nil"/>
        </w:pBdr>
        <w:tabs>
          <w:tab w:val="left" w:pos="432"/>
          <w:tab w:val="left" w:pos="1299"/>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Construction revenue</w:t>
      </w:r>
      <w:r w:rsidR="0032756D" w:rsidRPr="00CF6A89">
        <w:rPr>
          <w:rFonts w:ascii="Arial" w:hAnsi="Arial" w:cs="Arial"/>
          <w:color w:val="010000"/>
          <w:sz w:val="20"/>
        </w:rPr>
        <w:t>:</w:t>
      </w:r>
      <w:r w:rsidRPr="00CF6A89">
        <w:rPr>
          <w:rFonts w:ascii="Arial" w:hAnsi="Arial" w:cs="Arial"/>
          <w:color w:val="010000"/>
          <w:sz w:val="20"/>
        </w:rPr>
        <w:t xml:space="preserve"> VND 18</w:t>
      </w:r>
      <w:r w:rsidR="00CF6A89" w:rsidRPr="00CF6A89">
        <w:rPr>
          <w:rFonts w:ascii="Arial" w:hAnsi="Arial" w:cs="Arial"/>
          <w:color w:val="010000"/>
          <w:sz w:val="20"/>
        </w:rPr>
        <w:t>.</w:t>
      </w:r>
      <w:r w:rsidRPr="00CF6A89">
        <w:rPr>
          <w:rFonts w:ascii="Arial" w:hAnsi="Arial" w:cs="Arial"/>
          <w:color w:val="010000"/>
          <w:sz w:val="20"/>
        </w:rPr>
        <w:t>823 billion, equal to 25.09% of the year's plan.</w:t>
      </w:r>
    </w:p>
    <w:p w14:paraId="0000000C" w14:textId="5BBB1171" w:rsidR="00941F82" w:rsidRPr="00CF6A89" w:rsidRDefault="00CF6A89" w:rsidP="009C5D3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Industrial production revenue: VND 12.332 billion, equal to 82.21% of the year's plan.</w:t>
      </w:r>
    </w:p>
    <w:p w14:paraId="0000000D" w14:textId="77777777" w:rsidR="00941F82" w:rsidRPr="00CF6A89" w:rsidRDefault="00CF6A89" w:rsidP="009C5D31">
      <w:pPr>
        <w:numPr>
          <w:ilvl w:val="0"/>
          <w:numId w:val="11"/>
        </w:numPr>
        <w:pBdr>
          <w:top w:val="nil"/>
          <w:left w:val="nil"/>
          <w:bottom w:val="nil"/>
          <w:right w:val="nil"/>
          <w:between w:val="nil"/>
        </w:pBdr>
        <w:tabs>
          <w:tab w:val="left" w:pos="432"/>
          <w:tab w:val="left" w:pos="1292"/>
        </w:tabs>
        <w:spacing w:after="120" w:line="360" w:lineRule="auto"/>
        <w:jc w:val="both"/>
        <w:rPr>
          <w:rFonts w:ascii="Arial" w:eastAsia="Arial" w:hAnsi="Arial" w:cs="Arial"/>
          <w:color w:val="010000"/>
          <w:sz w:val="20"/>
          <w:szCs w:val="20"/>
        </w:rPr>
      </w:pPr>
      <w:r w:rsidRPr="00CF6A89">
        <w:rPr>
          <w:rFonts w:ascii="Arial" w:hAnsi="Arial" w:cs="Arial"/>
          <w:color w:val="010000"/>
          <w:sz w:val="20"/>
        </w:rPr>
        <w:t>Profit after tax: VND -3.299 billion.</w:t>
      </w:r>
    </w:p>
    <w:p w14:paraId="0000000E" w14:textId="77777777" w:rsidR="00941F82" w:rsidRPr="00CF6A89" w:rsidRDefault="00CF6A89" w:rsidP="009C5D31">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Charter capital: VND 12 billion</w:t>
      </w:r>
    </w:p>
    <w:p w14:paraId="0000000F" w14:textId="12D02492" w:rsidR="00941F82" w:rsidRPr="00CF6A89" w:rsidRDefault="00CF6A89" w:rsidP="009C5D31">
      <w:pPr>
        <w:numPr>
          <w:ilvl w:val="0"/>
          <w:numId w:val="11"/>
        </w:numPr>
        <w:pBdr>
          <w:top w:val="nil"/>
          <w:left w:val="nil"/>
          <w:bottom w:val="nil"/>
          <w:right w:val="nil"/>
          <w:between w:val="nil"/>
        </w:pBdr>
        <w:tabs>
          <w:tab w:val="left" w:pos="432"/>
          <w:tab w:val="left" w:pos="1292"/>
        </w:tabs>
        <w:spacing w:after="120" w:line="360" w:lineRule="auto"/>
        <w:jc w:val="both"/>
        <w:rPr>
          <w:rFonts w:ascii="Arial" w:eastAsia="Arial" w:hAnsi="Arial" w:cs="Arial"/>
          <w:color w:val="010000"/>
          <w:sz w:val="20"/>
          <w:szCs w:val="20"/>
        </w:rPr>
      </w:pPr>
      <w:r w:rsidRPr="00CF6A89">
        <w:rPr>
          <w:rFonts w:ascii="Arial" w:hAnsi="Arial" w:cs="Arial"/>
          <w:color w:val="010000"/>
          <w:sz w:val="20"/>
        </w:rPr>
        <w:t>Dividend %</w:t>
      </w:r>
      <w:r w:rsidR="00815DFC" w:rsidRPr="00CF6A89">
        <w:rPr>
          <w:rFonts w:ascii="Arial" w:hAnsi="Arial" w:cs="Arial"/>
          <w:color w:val="010000"/>
          <w:sz w:val="20"/>
        </w:rPr>
        <w:t>:</w:t>
      </w:r>
      <w:r w:rsidRPr="00CF6A89">
        <w:rPr>
          <w:rFonts w:ascii="Arial" w:hAnsi="Arial" w:cs="Arial"/>
          <w:color w:val="010000"/>
          <w:sz w:val="20"/>
        </w:rPr>
        <w:t xml:space="preserve"> None</w:t>
      </w:r>
    </w:p>
    <w:p w14:paraId="00000010" w14:textId="46FA8F82" w:rsidR="00941F82" w:rsidRPr="00CF6A89" w:rsidRDefault="002C1BD0" w:rsidP="009C5D31">
      <w:pPr>
        <w:numPr>
          <w:ilvl w:val="0"/>
          <w:numId w:val="2"/>
        </w:numPr>
        <w:pBdr>
          <w:top w:val="nil"/>
          <w:left w:val="nil"/>
          <w:bottom w:val="nil"/>
          <w:right w:val="nil"/>
          <w:between w:val="nil"/>
        </w:pBdr>
        <w:tabs>
          <w:tab w:val="left" w:pos="432"/>
          <w:tab w:val="left" w:pos="129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Key targets for 2024</w:t>
      </w:r>
    </w:p>
    <w:p w14:paraId="00000011" w14:textId="77777777" w:rsidR="00941F82" w:rsidRPr="00CF6A89" w:rsidRDefault="00CF6A89" w:rsidP="009C5D31">
      <w:pPr>
        <w:numPr>
          <w:ilvl w:val="0"/>
          <w:numId w:val="11"/>
        </w:numPr>
        <w:pBdr>
          <w:top w:val="nil"/>
          <w:left w:val="nil"/>
          <w:bottom w:val="nil"/>
          <w:right w:val="nil"/>
          <w:between w:val="nil"/>
        </w:pBdr>
        <w:tabs>
          <w:tab w:val="left" w:pos="432"/>
          <w:tab w:val="left" w:pos="1272"/>
        </w:tabs>
        <w:spacing w:after="120" w:line="360" w:lineRule="auto"/>
        <w:jc w:val="both"/>
        <w:rPr>
          <w:rFonts w:ascii="Arial" w:eastAsia="Arial" w:hAnsi="Arial" w:cs="Arial"/>
          <w:color w:val="010000"/>
          <w:sz w:val="20"/>
          <w:szCs w:val="20"/>
        </w:rPr>
      </w:pPr>
      <w:r w:rsidRPr="00CF6A89">
        <w:rPr>
          <w:rFonts w:ascii="Arial" w:hAnsi="Arial" w:cs="Arial"/>
          <w:color w:val="010000"/>
          <w:sz w:val="20"/>
        </w:rPr>
        <w:t>Total revenue: VND 90 billion; In which:</w:t>
      </w:r>
    </w:p>
    <w:p w14:paraId="00000012" w14:textId="0B5BA799" w:rsidR="00941F82" w:rsidRPr="00CF6A89" w:rsidRDefault="002C1BD0" w:rsidP="009C5D3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Construction revenue: VND 75 billion</w:t>
      </w:r>
    </w:p>
    <w:p w14:paraId="00000013" w14:textId="52FE9309" w:rsidR="00941F82" w:rsidRPr="00CF6A89" w:rsidRDefault="002C1BD0" w:rsidP="009C5D3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Industrial production revenue: VND 15 billion</w:t>
      </w:r>
    </w:p>
    <w:p w14:paraId="00000014" w14:textId="77777777" w:rsidR="00941F82" w:rsidRPr="00CF6A89" w:rsidRDefault="00CF6A89" w:rsidP="009C5D31">
      <w:pPr>
        <w:numPr>
          <w:ilvl w:val="0"/>
          <w:numId w:val="11"/>
        </w:numPr>
        <w:pBdr>
          <w:top w:val="nil"/>
          <w:left w:val="nil"/>
          <w:bottom w:val="nil"/>
          <w:right w:val="nil"/>
          <w:between w:val="nil"/>
        </w:pBdr>
        <w:tabs>
          <w:tab w:val="left" w:pos="432"/>
          <w:tab w:val="left" w:pos="1272"/>
          <w:tab w:val="left" w:pos="3806"/>
        </w:tabs>
        <w:spacing w:after="120" w:line="360" w:lineRule="auto"/>
        <w:jc w:val="both"/>
        <w:rPr>
          <w:rFonts w:ascii="Arial" w:eastAsia="Arial" w:hAnsi="Arial" w:cs="Arial"/>
          <w:color w:val="010000"/>
          <w:sz w:val="20"/>
          <w:szCs w:val="20"/>
        </w:rPr>
      </w:pPr>
      <w:r w:rsidRPr="00CF6A89">
        <w:rPr>
          <w:rFonts w:ascii="Arial" w:hAnsi="Arial" w:cs="Arial"/>
          <w:color w:val="010000"/>
          <w:sz w:val="20"/>
        </w:rPr>
        <w:t>Profit after tax: VND 3.5 billion</w:t>
      </w:r>
    </w:p>
    <w:p w14:paraId="00000015" w14:textId="77777777" w:rsidR="00941F82" w:rsidRPr="00CF6A89" w:rsidRDefault="00CF6A89" w:rsidP="009C5D31">
      <w:pPr>
        <w:numPr>
          <w:ilvl w:val="0"/>
          <w:numId w:val="11"/>
        </w:numPr>
        <w:pBdr>
          <w:top w:val="nil"/>
          <w:left w:val="nil"/>
          <w:bottom w:val="nil"/>
          <w:right w:val="nil"/>
          <w:between w:val="nil"/>
        </w:pBdr>
        <w:tabs>
          <w:tab w:val="left" w:pos="432"/>
          <w:tab w:val="left" w:pos="1272"/>
          <w:tab w:val="left" w:pos="3806"/>
        </w:tabs>
        <w:spacing w:after="120" w:line="360" w:lineRule="auto"/>
        <w:jc w:val="both"/>
        <w:rPr>
          <w:rFonts w:ascii="Arial" w:eastAsia="Arial" w:hAnsi="Arial" w:cs="Arial"/>
          <w:color w:val="010000"/>
          <w:sz w:val="20"/>
          <w:szCs w:val="20"/>
        </w:rPr>
      </w:pPr>
      <w:r w:rsidRPr="00CF6A89">
        <w:rPr>
          <w:rFonts w:ascii="Arial" w:hAnsi="Arial" w:cs="Arial"/>
          <w:color w:val="010000"/>
          <w:sz w:val="20"/>
        </w:rPr>
        <w:t>Charter capital: VND 24 billion</w:t>
      </w:r>
    </w:p>
    <w:p w14:paraId="00000016"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Article 3: Approve the Board of Directors' report on management and operations in 2023, operation plan for 2024 and the following years.</w:t>
      </w:r>
    </w:p>
    <w:p w14:paraId="00000017" w14:textId="4418F9EC"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Article 4: Approve the Audited Financial Statements 2023 of the Compan</w:t>
      </w:r>
      <w:r w:rsidR="002C1BD0" w:rsidRPr="00CF6A89">
        <w:rPr>
          <w:rFonts w:ascii="Arial" w:hAnsi="Arial" w:cs="Arial"/>
          <w:color w:val="010000"/>
          <w:sz w:val="20"/>
        </w:rPr>
        <w:t>y and</w:t>
      </w:r>
      <w:r w:rsidRPr="00CF6A89">
        <w:rPr>
          <w:rFonts w:ascii="Arial" w:hAnsi="Arial" w:cs="Arial"/>
          <w:color w:val="010000"/>
          <w:sz w:val="20"/>
        </w:rPr>
        <w:t xml:space="preserve"> the main targets achieved are as follows.</w:t>
      </w:r>
    </w:p>
    <w:p w14:paraId="00000018" w14:textId="491BC4CE" w:rsidR="00941F82" w:rsidRPr="00CF6A89" w:rsidRDefault="00CF6A89" w:rsidP="009C5D31">
      <w:pPr>
        <w:numPr>
          <w:ilvl w:val="0"/>
          <w:numId w:val="11"/>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CF6A89">
        <w:rPr>
          <w:rFonts w:ascii="Arial" w:hAnsi="Arial" w:cs="Arial"/>
          <w:color w:val="010000"/>
          <w:sz w:val="20"/>
        </w:rPr>
        <w:t>Total revenue: VND 31.156 billion</w:t>
      </w:r>
    </w:p>
    <w:p w14:paraId="00000019" w14:textId="77777777" w:rsidR="00941F82" w:rsidRPr="00CF6A89" w:rsidRDefault="00CF6A89" w:rsidP="009C5D31">
      <w:pPr>
        <w:numPr>
          <w:ilvl w:val="0"/>
          <w:numId w:val="11"/>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sidRPr="00CF6A89">
        <w:rPr>
          <w:rFonts w:ascii="Arial" w:hAnsi="Arial" w:cs="Arial"/>
          <w:color w:val="010000"/>
          <w:sz w:val="20"/>
        </w:rPr>
        <w:t>Profit before tax: VND -3.178 billion</w:t>
      </w:r>
    </w:p>
    <w:p w14:paraId="0000001A" w14:textId="1B5D8910" w:rsidR="00941F82" w:rsidRPr="00CF6A89" w:rsidRDefault="00CF6A89" w:rsidP="009C5D31">
      <w:pPr>
        <w:numPr>
          <w:ilvl w:val="0"/>
          <w:numId w:val="11"/>
        </w:numPr>
        <w:pBdr>
          <w:top w:val="nil"/>
          <w:left w:val="nil"/>
          <w:bottom w:val="nil"/>
          <w:right w:val="nil"/>
          <w:between w:val="nil"/>
        </w:pBdr>
        <w:tabs>
          <w:tab w:val="left" w:pos="432"/>
          <w:tab w:val="left" w:pos="1096"/>
          <w:tab w:val="left" w:pos="3806"/>
        </w:tabs>
        <w:spacing w:after="120" w:line="360" w:lineRule="auto"/>
        <w:jc w:val="both"/>
        <w:rPr>
          <w:rFonts w:ascii="Arial" w:eastAsia="Arial" w:hAnsi="Arial" w:cs="Arial"/>
          <w:color w:val="010000"/>
          <w:sz w:val="20"/>
          <w:szCs w:val="20"/>
        </w:rPr>
      </w:pPr>
      <w:r w:rsidRPr="00CF6A89">
        <w:rPr>
          <w:rFonts w:ascii="Arial" w:hAnsi="Arial" w:cs="Arial"/>
          <w:color w:val="010000"/>
          <w:sz w:val="20"/>
        </w:rPr>
        <w:lastRenderedPageBreak/>
        <w:t>Profit after tax VND</w:t>
      </w:r>
      <w:r w:rsidR="002C1BD0" w:rsidRPr="00CF6A89">
        <w:rPr>
          <w:rFonts w:ascii="Arial" w:hAnsi="Arial" w:cs="Arial"/>
          <w:color w:val="010000"/>
          <w:sz w:val="20"/>
        </w:rPr>
        <w:t>:</w:t>
      </w:r>
      <w:r w:rsidRPr="00CF6A89">
        <w:rPr>
          <w:rFonts w:ascii="Arial" w:hAnsi="Arial" w:cs="Arial"/>
          <w:color w:val="010000"/>
          <w:sz w:val="20"/>
        </w:rPr>
        <w:t xml:space="preserve"> -3.299 billion</w:t>
      </w:r>
    </w:p>
    <w:p w14:paraId="0000001B"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Article 5: Approve the plan on appropriation for funds and profit distribution in 2023 with the following targets.</w:t>
      </w:r>
    </w:p>
    <w:p w14:paraId="0000001C" w14:textId="77777777" w:rsidR="00941F82" w:rsidRPr="00CF6A89" w:rsidRDefault="00CF6A89" w:rsidP="009C5D31">
      <w:pPr>
        <w:numPr>
          <w:ilvl w:val="0"/>
          <w:numId w:val="11"/>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CF6A89">
        <w:rPr>
          <w:rFonts w:ascii="Arial" w:hAnsi="Arial" w:cs="Arial"/>
          <w:color w:val="010000"/>
          <w:sz w:val="20"/>
        </w:rPr>
        <w:t>Total profit before tax: VND -3.178 billion;</w:t>
      </w:r>
    </w:p>
    <w:p w14:paraId="0000001D" w14:textId="77777777" w:rsidR="00941F82" w:rsidRPr="00CF6A89" w:rsidRDefault="00CF6A89" w:rsidP="009C5D31">
      <w:pPr>
        <w:numPr>
          <w:ilvl w:val="0"/>
          <w:numId w:val="11"/>
        </w:numPr>
        <w:pBdr>
          <w:top w:val="nil"/>
          <w:left w:val="nil"/>
          <w:bottom w:val="nil"/>
          <w:right w:val="nil"/>
          <w:between w:val="nil"/>
        </w:pBdr>
        <w:tabs>
          <w:tab w:val="left" w:pos="432"/>
          <w:tab w:val="left" w:pos="1092"/>
          <w:tab w:val="left" w:pos="4384"/>
        </w:tabs>
        <w:spacing w:after="120" w:line="360" w:lineRule="auto"/>
        <w:jc w:val="both"/>
        <w:rPr>
          <w:rFonts w:ascii="Arial" w:eastAsia="Arial" w:hAnsi="Arial" w:cs="Arial"/>
          <w:color w:val="010000"/>
          <w:sz w:val="20"/>
          <w:szCs w:val="20"/>
        </w:rPr>
      </w:pPr>
      <w:r w:rsidRPr="00CF6A89">
        <w:rPr>
          <w:rFonts w:ascii="Arial" w:hAnsi="Arial" w:cs="Arial"/>
          <w:color w:val="010000"/>
          <w:sz w:val="20"/>
        </w:rPr>
        <w:t>Total profit after tax: VND -3.299 billion;</w:t>
      </w:r>
    </w:p>
    <w:p w14:paraId="0000001E" w14:textId="0B2A6609" w:rsidR="00941F82" w:rsidRPr="00CF6A89" w:rsidRDefault="00CF6A89" w:rsidP="009C5D31">
      <w:pPr>
        <w:numPr>
          <w:ilvl w:val="0"/>
          <w:numId w:val="11"/>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sidRPr="00CF6A89">
        <w:rPr>
          <w:rFonts w:ascii="Arial" w:hAnsi="Arial" w:cs="Arial"/>
          <w:color w:val="010000"/>
          <w:sz w:val="20"/>
        </w:rPr>
        <w:t xml:space="preserve">Retained profit from the previous </w:t>
      </w:r>
      <w:r w:rsidR="00193E81" w:rsidRPr="00CF6A89">
        <w:rPr>
          <w:rFonts w:ascii="Arial" w:hAnsi="Arial" w:cs="Arial"/>
          <w:color w:val="010000"/>
          <w:sz w:val="20"/>
        </w:rPr>
        <w:t>year:</w:t>
      </w:r>
      <w:r w:rsidRPr="00CF6A89">
        <w:rPr>
          <w:rFonts w:ascii="Arial" w:hAnsi="Arial" w:cs="Arial"/>
          <w:color w:val="010000"/>
          <w:sz w:val="20"/>
        </w:rPr>
        <w:t xml:space="preserve"> VND 1.503 billion</w:t>
      </w:r>
    </w:p>
    <w:p w14:paraId="0000001F" w14:textId="07600EF4" w:rsidR="00941F82" w:rsidRPr="00CF6A89" w:rsidRDefault="00CF6A89" w:rsidP="009C5D31">
      <w:pPr>
        <w:numPr>
          <w:ilvl w:val="0"/>
          <w:numId w:val="11"/>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sidRPr="00CF6A89">
        <w:rPr>
          <w:rFonts w:ascii="Arial" w:hAnsi="Arial" w:cs="Arial"/>
          <w:color w:val="010000"/>
          <w:sz w:val="20"/>
        </w:rPr>
        <w:t>Remaining undistributed profit: VND -1.796 billion</w:t>
      </w:r>
    </w:p>
    <w:p w14:paraId="00000020" w14:textId="74990E01"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Article 6: Approve the Report of the Supervisory Board in 2023</w:t>
      </w:r>
      <w:r w:rsidR="00193E81" w:rsidRPr="00CF6A89">
        <w:rPr>
          <w:rFonts w:ascii="Arial" w:hAnsi="Arial" w:cs="Arial"/>
          <w:color w:val="010000"/>
          <w:sz w:val="20"/>
        </w:rPr>
        <w:t>.</w:t>
      </w:r>
      <w:r w:rsidRPr="00CF6A89">
        <w:rPr>
          <w:rFonts w:ascii="Arial" w:hAnsi="Arial" w:cs="Arial"/>
          <w:color w:val="010000"/>
          <w:sz w:val="20"/>
        </w:rPr>
        <w:t xml:space="preserve"> Presented at the Company's General Meeting of Shareholders 2024.</w:t>
      </w:r>
    </w:p>
    <w:p w14:paraId="00000021" w14:textId="1A01999F"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 xml:space="preserve">Article 7: Approve the </w:t>
      </w:r>
      <w:r w:rsidR="00193E81" w:rsidRPr="00CF6A89">
        <w:rPr>
          <w:rFonts w:ascii="Arial" w:hAnsi="Arial" w:cs="Arial"/>
          <w:color w:val="010000"/>
          <w:sz w:val="20"/>
        </w:rPr>
        <w:t>P</w:t>
      </w:r>
      <w:r w:rsidRPr="00CF6A89">
        <w:rPr>
          <w:rFonts w:ascii="Arial" w:hAnsi="Arial" w:cs="Arial"/>
          <w:color w:val="010000"/>
          <w:sz w:val="20"/>
        </w:rPr>
        <w:t xml:space="preserve">roposal on </w:t>
      </w:r>
      <w:r w:rsidR="00193E81" w:rsidRPr="00CF6A89">
        <w:rPr>
          <w:rFonts w:ascii="Arial" w:hAnsi="Arial" w:cs="Arial"/>
          <w:color w:val="010000"/>
          <w:sz w:val="20"/>
        </w:rPr>
        <w:t>selecting</w:t>
      </w:r>
      <w:r w:rsidRPr="00CF6A89">
        <w:rPr>
          <w:rFonts w:ascii="Arial" w:hAnsi="Arial" w:cs="Arial"/>
          <w:color w:val="010000"/>
          <w:sz w:val="20"/>
        </w:rPr>
        <w:t xml:space="preserve"> an independent audit company to audit the Company's Financial Statements 2024.</w:t>
      </w:r>
    </w:p>
    <w:p w14:paraId="00000022" w14:textId="24223BC1"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The Annual General Meeting of Shareholders 2024 authorize</w:t>
      </w:r>
      <w:r w:rsidR="00193E81" w:rsidRPr="00CF6A89">
        <w:rPr>
          <w:rFonts w:ascii="Arial" w:hAnsi="Arial" w:cs="Arial"/>
          <w:color w:val="010000"/>
          <w:sz w:val="20"/>
        </w:rPr>
        <w:t>d</w:t>
      </w:r>
      <w:r w:rsidRPr="00CF6A89">
        <w:rPr>
          <w:rFonts w:ascii="Arial" w:hAnsi="Arial" w:cs="Arial"/>
          <w:color w:val="010000"/>
          <w:sz w:val="20"/>
        </w:rPr>
        <w:t xml:space="preserve"> the Board of Directors to select one of the independent audit companies, approved by the State Audit Committee, to audit the Financial Statements 2024 of the Company. </w:t>
      </w:r>
    </w:p>
    <w:p w14:paraId="00000023" w14:textId="5675F2D2" w:rsidR="00941F82" w:rsidRPr="00CF6A89" w:rsidRDefault="00CF6A89" w:rsidP="009C5D3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 xml:space="preserve">Article 8: Approve the </w:t>
      </w:r>
      <w:r w:rsidR="00193E81" w:rsidRPr="00CF6A89">
        <w:rPr>
          <w:rFonts w:ascii="Arial" w:hAnsi="Arial" w:cs="Arial"/>
          <w:color w:val="010000"/>
          <w:sz w:val="20"/>
        </w:rPr>
        <w:t>P</w:t>
      </w:r>
      <w:r w:rsidRPr="00CF6A89">
        <w:rPr>
          <w:rFonts w:ascii="Arial" w:hAnsi="Arial" w:cs="Arial"/>
          <w:color w:val="010000"/>
          <w:sz w:val="20"/>
        </w:rPr>
        <w:t xml:space="preserve">roposal on remuneration </w:t>
      </w:r>
      <w:r w:rsidR="00193E81" w:rsidRPr="00CF6A89">
        <w:rPr>
          <w:rFonts w:ascii="Arial" w:hAnsi="Arial" w:cs="Arial"/>
          <w:color w:val="010000"/>
          <w:sz w:val="20"/>
        </w:rPr>
        <w:t>payment for</w:t>
      </w:r>
      <w:r w:rsidRPr="00CF6A89">
        <w:rPr>
          <w:rFonts w:ascii="Arial" w:hAnsi="Arial" w:cs="Arial"/>
          <w:color w:val="010000"/>
          <w:sz w:val="20"/>
        </w:rPr>
        <w:t xml:space="preserve"> members of the Board of Directors, the Supervisory Board</w:t>
      </w:r>
      <w:r w:rsidR="001E4E19">
        <w:rPr>
          <w:rFonts w:ascii="Arial" w:hAnsi="Arial" w:cs="Arial"/>
          <w:color w:val="010000"/>
          <w:sz w:val="20"/>
        </w:rPr>
        <w:t>,</w:t>
      </w:r>
      <w:r w:rsidRPr="00CF6A89">
        <w:rPr>
          <w:rFonts w:ascii="Arial" w:hAnsi="Arial" w:cs="Arial"/>
          <w:color w:val="010000"/>
          <w:sz w:val="20"/>
        </w:rPr>
        <w:t xml:space="preserve"> and the </w:t>
      </w:r>
      <w:r w:rsidR="00193E81" w:rsidRPr="00CF6A89">
        <w:rPr>
          <w:rFonts w:ascii="Arial" w:hAnsi="Arial" w:cs="Arial"/>
          <w:color w:val="010000"/>
          <w:sz w:val="20"/>
        </w:rPr>
        <w:t>Secretariat of the Board of Directors</w:t>
      </w:r>
      <w:r w:rsidRPr="00CF6A89">
        <w:rPr>
          <w:rFonts w:ascii="Arial" w:hAnsi="Arial" w:cs="Arial"/>
          <w:color w:val="010000"/>
          <w:sz w:val="20"/>
        </w:rPr>
        <w:t xml:space="preserve"> in 2023 and 2024, specifically as follows.</w:t>
      </w:r>
    </w:p>
    <w:p w14:paraId="00000024" w14:textId="05F13C5B" w:rsidR="00941F82" w:rsidRPr="00CF6A89" w:rsidRDefault="00CF6A89" w:rsidP="009C5D31">
      <w:pPr>
        <w:keepNext/>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 xml:space="preserve">The General Meeting of Shareholders approved the total remuneration paid to members of the Board of Directors, </w:t>
      </w:r>
      <w:r w:rsidR="00193E81" w:rsidRPr="00CF6A89">
        <w:rPr>
          <w:rFonts w:ascii="Arial" w:hAnsi="Arial" w:cs="Arial"/>
          <w:color w:val="010000"/>
          <w:sz w:val="20"/>
        </w:rPr>
        <w:t xml:space="preserve">the </w:t>
      </w:r>
      <w:r w:rsidRPr="00CF6A89">
        <w:rPr>
          <w:rFonts w:ascii="Arial" w:hAnsi="Arial" w:cs="Arial"/>
          <w:color w:val="010000"/>
          <w:sz w:val="20"/>
        </w:rPr>
        <w:t>Supervisory Board</w:t>
      </w:r>
      <w:r w:rsidR="001E4E19">
        <w:rPr>
          <w:rFonts w:ascii="Arial" w:hAnsi="Arial" w:cs="Arial"/>
          <w:color w:val="010000"/>
          <w:sz w:val="20"/>
        </w:rPr>
        <w:t>,</w:t>
      </w:r>
      <w:r w:rsidRPr="00CF6A89">
        <w:rPr>
          <w:rFonts w:ascii="Arial" w:hAnsi="Arial" w:cs="Arial"/>
          <w:color w:val="010000"/>
          <w:sz w:val="20"/>
        </w:rPr>
        <w:t xml:space="preserve"> and </w:t>
      </w:r>
      <w:r w:rsidR="000C5E35" w:rsidRPr="00CF6A89">
        <w:rPr>
          <w:rFonts w:ascii="Arial" w:hAnsi="Arial" w:cs="Arial"/>
          <w:color w:val="010000"/>
          <w:sz w:val="20"/>
        </w:rPr>
        <w:t>the Secretariat of the Board of Directors</w:t>
      </w:r>
      <w:r w:rsidRPr="00CF6A89">
        <w:rPr>
          <w:rFonts w:ascii="Arial" w:hAnsi="Arial" w:cs="Arial"/>
          <w:color w:val="010000"/>
          <w:sz w:val="20"/>
        </w:rPr>
        <w:t xml:space="preserve"> in 2023</w:t>
      </w:r>
      <w:r w:rsidR="000C5E35" w:rsidRPr="00CF6A89">
        <w:rPr>
          <w:rFonts w:ascii="Arial" w:hAnsi="Arial" w:cs="Arial"/>
          <w:color w:val="010000"/>
          <w:sz w:val="20"/>
        </w:rPr>
        <w:t xml:space="preserve"> as</w:t>
      </w:r>
      <w:r w:rsidRPr="00CF6A89">
        <w:rPr>
          <w:rFonts w:ascii="Arial" w:hAnsi="Arial" w:cs="Arial"/>
          <w:color w:val="010000"/>
          <w:sz w:val="20"/>
        </w:rPr>
        <w:t>: VND 222,000,000, with the following levels.</w:t>
      </w:r>
    </w:p>
    <w:p w14:paraId="00000025" w14:textId="532C324D" w:rsidR="00941F82" w:rsidRPr="00CF6A89" w:rsidRDefault="000C5E35" w:rsidP="009C5D3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The Chair of the Board of Directors: VND 5,000,000.0/month</w:t>
      </w:r>
    </w:p>
    <w:p w14:paraId="00000026" w14:textId="14A5CF74" w:rsidR="00941F82" w:rsidRPr="00CF6A89" w:rsidRDefault="000C5E35" w:rsidP="009C5D3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Members of the Board of Directors and Chief of the Supervisory Board: VND 3,000,000.0/month</w:t>
      </w:r>
    </w:p>
    <w:p w14:paraId="00000027" w14:textId="51F86A6E" w:rsidR="00941F82" w:rsidRPr="00CF6A89" w:rsidRDefault="000C5E35" w:rsidP="009C5D3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Members of the Supervisory Board: VND 1,500,000.0/month</w:t>
      </w:r>
    </w:p>
    <w:p w14:paraId="00000028" w14:textId="406F3E1C" w:rsidR="00941F82" w:rsidRPr="00CF6A89" w:rsidRDefault="000C5E35" w:rsidP="009C5D3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The Secretariat of the Board of Directors: VND 1,500,000.0/month</w:t>
      </w:r>
    </w:p>
    <w:p w14:paraId="00000029" w14:textId="12A52F46" w:rsidR="00941F82" w:rsidRPr="00CF6A89" w:rsidRDefault="00CF6A89" w:rsidP="009C5D3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The General Meeting of Shareholders approve</w:t>
      </w:r>
      <w:r w:rsidR="000C5E35" w:rsidRPr="00CF6A89">
        <w:rPr>
          <w:rFonts w:ascii="Arial" w:hAnsi="Arial" w:cs="Arial"/>
          <w:color w:val="010000"/>
          <w:sz w:val="20"/>
        </w:rPr>
        <w:t xml:space="preserve">d </w:t>
      </w:r>
      <w:r w:rsidRPr="00CF6A89">
        <w:rPr>
          <w:rFonts w:ascii="Arial" w:hAnsi="Arial" w:cs="Arial"/>
          <w:color w:val="010000"/>
          <w:sz w:val="20"/>
        </w:rPr>
        <w:t xml:space="preserve">the total remuneration </w:t>
      </w:r>
      <w:r w:rsidR="000C5E35" w:rsidRPr="00CF6A89">
        <w:rPr>
          <w:rFonts w:ascii="Arial" w:hAnsi="Arial" w:cs="Arial"/>
          <w:color w:val="010000"/>
          <w:sz w:val="20"/>
        </w:rPr>
        <w:t>payment to</w:t>
      </w:r>
      <w:r w:rsidRPr="00CF6A89">
        <w:rPr>
          <w:rFonts w:ascii="Arial" w:hAnsi="Arial" w:cs="Arial"/>
          <w:color w:val="010000"/>
          <w:sz w:val="20"/>
        </w:rPr>
        <w:t xml:space="preserve"> members of the Board of Directors, the Supervisory Board</w:t>
      </w:r>
      <w:r w:rsidR="001E4E19">
        <w:rPr>
          <w:rFonts w:ascii="Arial" w:hAnsi="Arial" w:cs="Arial"/>
          <w:color w:val="010000"/>
          <w:sz w:val="20"/>
        </w:rPr>
        <w:t>,</w:t>
      </w:r>
      <w:r w:rsidRPr="00CF6A89">
        <w:rPr>
          <w:rFonts w:ascii="Arial" w:hAnsi="Arial" w:cs="Arial"/>
          <w:color w:val="010000"/>
          <w:sz w:val="20"/>
        </w:rPr>
        <w:t xml:space="preserve"> and the Secretar</w:t>
      </w:r>
      <w:r w:rsidR="000C5E35" w:rsidRPr="00CF6A89">
        <w:rPr>
          <w:rFonts w:ascii="Arial" w:hAnsi="Arial" w:cs="Arial"/>
          <w:color w:val="010000"/>
          <w:sz w:val="20"/>
        </w:rPr>
        <w:t>iat</w:t>
      </w:r>
      <w:r w:rsidRPr="00CF6A89">
        <w:rPr>
          <w:rFonts w:ascii="Arial" w:hAnsi="Arial" w:cs="Arial"/>
          <w:color w:val="010000"/>
          <w:sz w:val="20"/>
        </w:rPr>
        <w:t xml:space="preserve"> of the Board of Directors in 2024 as: VND 222,000,000, with the following levels.</w:t>
      </w:r>
    </w:p>
    <w:p w14:paraId="0000002A" w14:textId="3DA1909B" w:rsidR="00941F82" w:rsidRPr="00CF6A89" w:rsidRDefault="000C5E35" w:rsidP="009C5D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The Chair of the Board of Directors: VND 5,000,000/month.</w:t>
      </w:r>
    </w:p>
    <w:p w14:paraId="0000002B" w14:textId="03B36AAF" w:rsidR="00941F82" w:rsidRPr="00CF6A89" w:rsidRDefault="000C5E35" w:rsidP="009C5D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Members of the Board of Directors and Chief of the Supervisory Board: VND 3,000,000/month</w:t>
      </w:r>
    </w:p>
    <w:p w14:paraId="0000002C" w14:textId="084D2517" w:rsidR="00941F82" w:rsidRPr="00CF6A89" w:rsidRDefault="000C5E35" w:rsidP="009C5D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Members of the Supervisory Board: VND 1,500,000/month.</w:t>
      </w:r>
    </w:p>
    <w:p w14:paraId="0000002D" w14:textId="32990327" w:rsidR="00941F82" w:rsidRPr="00CF6A89" w:rsidRDefault="000C5E35" w:rsidP="009C5D31">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The Secretariat of the Board of Directors: VND 1,500,000/month</w:t>
      </w:r>
    </w:p>
    <w:p w14:paraId="0000002E"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Depending on the implementation of the production and business plan in 2024, the Board of Directors may receive additional remuneration and is determined as follows:</w:t>
      </w:r>
    </w:p>
    <w:p w14:paraId="0000002F"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lastRenderedPageBreak/>
        <w:t>The remuneration level is determined by 10% of the increased profit after tax compared to the business plan in 2024, but the additional remuneration does not exceed VND 250,000,000.</w:t>
      </w:r>
    </w:p>
    <w:p w14:paraId="00000030"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Article 9: Approve the plan to increase the Company's charter capital.</w:t>
      </w:r>
    </w:p>
    <w:p w14:paraId="00000031" w14:textId="0BA6A59B"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The General Meeting of Shareholders approve</w:t>
      </w:r>
      <w:r w:rsidR="000C5E35" w:rsidRPr="00CF6A89">
        <w:rPr>
          <w:rFonts w:ascii="Arial" w:hAnsi="Arial" w:cs="Arial"/>
          <w:color w:val="010000"/>
          <w:sz w:val="20"/>
        </w:rPr>
        <w:t>d</w:t>
      </w:r>
      <w:r w:rsidRPr="00CF6A89">
        <w:rPr>
          <w:rFonts w:ascii="Arial" w:hAnsi="Arial" w:cs="Arial"/>
          <w:color w:val="010000"/>
          <w:sz w:val="20"/>
        </w:rPr>
        <w:t xml:space="preserve"> the plan to increase charter capital with the following specific contents:</w:t>
      </w:r>
    </w:p>
    <w:p w14:paraId="00000032" w14:textId="7FD9E25E" w:rsidR="00941F82" w:rsidRPr="00CF6A89" w:rsidRDefault="00B20962" w:rsidP="009C5D31">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Plan for increasing charter capital:</w:t>
      </w:r>
    </w:p>
    <w:p w14:paraId="00000033"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Current charter capital: VND 12,000,000,000</w:t>
      </w:r>
    </w:p>
    <w:p w14:paraId="00000034"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Charter capital after the issuance: VND 24,000,000,000</w:t>
      </w:r>
    </w:p>
    <w:p w14:paraId="00000035" w14:textId="66135D74" w:rsidR="00941F82" w:rsidRPr="00CF6A89" w:rsidRDefault="00CF6A89" w:rsidP="009C5D3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Form of issuing: for existing shareholders, major shareholders, strategic shareholders</w:t>
      </w:r>
      <w:r w:rsidR="001E4E19">
        <w:rPr>
          <w:rFonts w:ascii="Arial" w:hAnsi="Arial" w:cs="Arial"/>
          <w:color w:val="010000"/>
          <w:sz w:val="20"/>
        </w:rPr>
        <w:t>,</w:t>
      </w:r>
      <w:r w:rsidRPr="00CF6A89">
        <w:rPr>
          <w:rFonts w:ascii="Arial" w:hAnsi="Arial" w:cs="Arial"/>
          <w:color w:val="010000"/>
          <w:sz w:val="20"/>
        </w:rPr>
        <w:t xml:space="preserve"> and partners.</w:t>
      </w:r>
    </w:p>
    <w:p w14:paraId="00000036" w14:textId="77777777" w:rsidR="00941F82" w:rsidRPr="00CF6A89" w:rsidRDefault="00CF6A89" w:rsidP="009C5D3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Specific capital increase plan: The General Meeting of Shareholders assigns the Board of Directors to hire a consulting company to prepare a detailed plan.</w:t>
      </w:r>
    </w:p>
    <w:p w14:paraId="00000037" w14:textId="64CE2243" w:rsidR="00941F82" w:rsidRPr="00CF6A89" w:rsidRDefault="00CF6A89" w:rsidP="009C5D31">
      <w:pPr>
        <w:keepNext/>
        <w:numPr>
          <w:ilvl w:val="0"/>
          <w:numId w:val="10"/>
        </w:numPr>
        <w:pBdr>
          <w:top w:val="nil"/>
          <w:left w:val="nil"/>
          <w:bottom w:val="nil"/>
          <w:right w:val="nil"/>
          <w:between w:val="nil"/>
        </w:pBdr>
        <w:tabs>
          <w:tab w:val="left" w:pos="432"/>
          <w:tab w:val="left" w:pos="589"/>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Purpose of increasing charter capital</w:t>
      </w:r>
      <w:r w:rsidR="00B20962" w:rsidRPr="00CF6A89">
        <w:rPr>
          <w:rFonts w:ascii="Arial" w:hAnsi="Arial" w:cs="Arial"/>
          <w:color w:val="010000"/>
          <w:sz w:val="20"/>
        </w:rPr>
        <w:t>:</w:t>
      </w:r>
    </w:p>
    <w:p w14:paraId="00000038" w14:textId="3236E933" w:rsidR="00941F82" w:rsidRPr="00CF6A89" w:rsidRDefault="00CF6A89" w:rsidP="009C5D31">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 xml:space="preserve">Purchase construction machinery and equipment, </w:t>
      </w:r>
      <w:r w:rsidR="00B20962" w:rsidRPr="00CF6A89">
        <w:rPr>
          <w:rFonts w:ascii="Arial" w:hAnsi="Arial" w:cs="Arial"/>
          <w:color w:val="010000"/>
          <w:sz w:val="20"/>
        </w:rPr>
        <w:t xml:space="preserve">and </w:t>
      </w:r>
      <w:r w:rsidRPr="00CF6A89">
        <w:rPr>
          <w:rFonts w:ascii="Arial" w:hAnsi="Arial" w:cs="Arial"/>
          <w:color w:val="010000"/>
          <w:sz w:val="20"/>
        </w:rPr>
        <w:t xml:space="preserve">invest in modernizing the production line of electric poles and </w:t>
      </w:r>
      <w:r w:rsidR="00E60D50" w:rsidRPr="00CF6A89">
        <w:rPr>
          <w:rFonts w:ascii="Arial" w:hAnsi="Arial" w:cs="Arial"/>
          <w:color w:val="010000"/>
          <w:sz w:val="20"/>
        </w:rPr>
        <w:t>c</w:t>
      </w:r>
      <w:r w:rsidRPr="00CF6A89">
        <w:rPr>
          <w:rFonts w:ascii="Arial" w:hAnsi="Arial" w:cs="Arial"/>
          <w:color w:val="010000"/>
          <w:sz w:val="20"/>
        </w:rPr>
        <w:t xml:space="preserve">entrifugal </w:t>
      </w:r>
      <w:r w:rsidR="00E60D50" w:rsidRPr="00CF6A89">
        <w:rPr>
          <w:rFonts w:ascii="Arial" w:hAnsi="Arial" w:cs="Arial"/>
          <w:color w:val="010000"/>
          <w:sz w:val="20"/>
        </w:rPr>
        <w:t>c</w:t>
      </w:r>
      <w:r w:rsidRPr="00CF6A89">
        <w:rPr>
          <w:rFonts w:ascii="Arial" w:hAnsi="Arial" w:cs="Arial"/>
          <w:color w:val="010000"/>
          <w:sz w:val="20"/>
        </w:rPr>
        <w:t>oncrete Sewer Pipe at the Workshop.</w:t>
      </w:r>
    </w:p>
    <w:p w14:paraId="00000039" w14:textId="3D41B476" w:rsidR="00941F82" w:rsidRPr="00CF6A89" w:rsidRDefault="00CF6A89" w:rsidP="009C5D31">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Supplement capital for production and business</w:t>
      </w:r>
      <w:r w:rsidR="00E60D50" w:rsidRPr="00CF6A89">
        <w:rPr>
          <w:rFonts w:ascii="Arial" w:hAnsi="Arial" w:cs="Arial"/>
          <w:color w:val="010000"/>
          <w:sz w:val="20"/>
        </w:rPr>
        <w:t xml:space="preserve"> operations.</w:t>
      </w:r>
    </w:p>
    <w:p w14:paraId="0000003A" w14:textId="77777777" w:rsidR="00941F82" w:rsidRPr="00CF6A89" w:rsidRDefault="00CF6A89" w:rsidP="009C5D31">
      <w:pPr>
        <w:keepNext/>
        <w:numPr>
          <w:ilvl w:val="0"/>
          <w:numId w:val="10"/>
        </w:numPr>
        <w:pBdr>
          <w:top w:val="nil"/>
          <w:left w:val="nil"/>
          <w:bottom w:val="nil"/>
          <w:right w:val="nil"/>
          <w:between w:val="nil"/>
        </w:pBdr>
        <w:tabs>
          <w:tab w:val="left" w:pos="432"/>
          <w:tab w:val="left" w:pos="593"/>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Authorize the Board of Directors to carry out procedures related to the issuance.</w:t>
      </w:r>
    </w:p>
    <w:p w14:paraId="0000003B" w14:textId="49FA32BF" w:rsidR="00941F82" w:rsidRPr="00CF6A89" w:rsidRDefault="00CF6A89" w:rsidP="009C5D31">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 xml:space="preserve">Decide on the detailed capital increase plan of the Charter capital increase plan </w:t>
      </w:r>
      <w:r w:rsidR="001E4E19">
        <w:rPr>
          <w:rFonts w:ascii="Arial" w:hAnsi="Arial" w:cs="Arial"/>
          <w:color w:val="010000"/>
          <w:sz w:val="20"/>
        </w:rPr>
        <w:t>following</w:t>
      </w:r>
      <w:bookmarkStart w:id="0" w:name="_GoBack"/>
      <w:bookmarkEnd w:id="0"/>
      <w:r w:rsidRPr="00CF6A89">
        <w:rPr>
          <w:rFonts w:ascii="Arial" w:hAnsi="Arial" w:cs="Arial"/>
          <w:color w:val="010000"/>
          <w:sz w:val="20"/>
        </w:rPr>
        <w:t xml:space="preserve"> the provisions of the Law</w:t>
      </w:r>
    </w:p>
    <w:p w14:paraId="0000003C" w14:textId="77777777" w:rsidR="00941F82" w:rsidRPr="00CF6A89" w:rsidRDefault="00CF6A89" w:rsidP="009C5D31">
      <w:pPr>
        <w:numPr>
          <w:ilvl w:val="0"/>
          <w:numId w:val="9"/>
        </w:numPr>
        <w:pBdr>
          <w:top w:val="nil"/>
          <w:left w:val="nil"/>
          <w:bottom w:val="nil"/>
          <w:right w:val="nil"/>
          <w:between w:val="nil"/>
        </w:pBdr>
        <w:tabs>
          <w:tab w:val="left" w:pos="432"/>
          <w:tab w:val="left" w:pos="10267"/>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Authorize the Board of Directors to choose the appropriate time to issue an increase in Charter capital, and at the same time decide on the issuance price to increase capital.</w:t>
      </w:r>
    </w:p>
    <w:p w14:paraId="0000003D" w14:textId="77777777" w:rsidR="00941F82" w:rsidRPr="00CF6A89" w:rsidRDefault="00CF6A89" w:rsidP="009C5D31">
      <w:pPr>
        <w:numPr>
          <w:ilvl w:val="0"/>
          <w:numId w:val="9"/>
        </w:numPr>
        <w:pBdr>
          <w:top w:val="nil"/>
          <w:left w:val="nil"/>
          <w:bottom w:val="nil"/>
          <w:right w:val="nil"/>
          <w:between w:val="nil"/>
        </w:pBdr>
        <w:tabs>
          <w:tab w:val="left" w:pos="432"/>
          <w:tab w:val="left" w:pos="10267"/>
        </w:tabs>
        <w:spacing w:after="120" w:line="360" w:lineRule="auto"/>
        <w:ind w:left="0" w:firstLine="0"/>
        <w:jc w:val="both"/>
        <w:rPr>
          <w:rFonts w:ascii="Arial" w:eastAsia="Arial" w:hAnsi="Arial" w:cs="Arial"/>
          <w:color w:val="010000"/>
          <w:sz w:val="20"/>
          <w:szCs w:val="20"/>
        </w:rPr>
      </w:pPr>
      <w:r w:rsidRPr="00CF6A89">
        <w:rPr>
          <w:rFonts w:ascii="Arial" w:hAnsi="Arial" w:cs="Arial"/>
          <w:color w:val="010000"/>
          <w:sz w:val="20"/>
        </w:rPr>
        <w:t>Authorize the Board of Directors to carry out legal procedures and issues related to the issuance.</w:t>
      </w:r>
    </w:p>
    <w:p w14:paraId="0000003E"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Article 10: Approve the draft of the Annual General Meeting of Shareholders 2024.</w:t>
      </w:r>
    </w:p>
    <w:p w14:paraId="0000003F"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Article 11: Terms of enforcement</w:t>
      </w:r>
    </w:p>
    <w:p w14:paraId="00000040" w14:textId="77777777" w:rsidR="00941F82" w:rsidRPr="00CF6A89" w:rsidRDefault="00CF6A89" w:rsidP="009C5D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F6A89">
        <w:rPr>
          <w:rFonts w:ascii="Arial" w:hAnsi="Arial" w:cs="Arial"/>
          <w:color w:val="010000"/>
          <w:sz w:val="20"/>
        </w:rPr>
        <w:t>Based on the contents discussed and approved, the Annual General Meeting of Shareholders 2024 assigns to members of the Board of Directors and the Executive Board of the Company, based on the functions, tasks, and powers prescribed to develop specific programs and plans to effectively implement the planning targets set out in the General Mandate.</w:t>
      </w:r>
    </w:p>
    <w:sectPr w:rsidR="00941F82" w:rsidRPr="00CF6A89" w:rsidSect="00D064F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embedRegular r:id="rId1" w:fontKey="{70DDEC9F-EFB2-4DA1-904E-9CB90239EDCA}"/>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32C53EE1-8A9D-4447-ADD3-983F3F72D84E}"/>
    <w:embedItalic r:id="rId3" w:fontKey="{ADACDF1D-06A5-40BE-A86C-9E49DF173CD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7386"/>
    <w:multiLevelType w:val="multilevel"/>
    <w:tmpl w:val="6E06614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A067B6"/>
    <w:multiLevelType w:val="multilevel"/>
    <w:tmpl w:val="098230E4"/>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9BD18AB"/>
    <w:multiLevelType w:val="multilevel"/>
    <w:tmpl w:val="3BF8081E"/>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1671C4F"/>
    <w:multiLevelType w:val="multilevel"/>
    <w:tmpl w:val="8564EE1A"/>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30876AA3"/>
    <w:multiLevelType w:val="multilevel"/>
    <w:tmpl w:val="9EC6C03A"/>
    <w:lvl w:ilvl="0">
      <w:start w:val="1"/>
      <w:numFmt w:val="decimal"/>
      <w:lvlText w:val="%1/"/>
      <w:lvlJc w:val="left"/>
      <w:pPr>
        <w:ind w:left="1030" w:hanging="360"/>
      </w:pPr>
      <w:rPr>
        <w:rFonts w:ascii="Arial" w:eastAsia="Arial" w:hAnsi="Arial" w:cs="Arial"/>
        <w:b w:val="0"/>
        <w:i w:val="0"/>
        <w:sz w:val="20"/>
        <w:szCs w:val="20"/>
        <w:u w:val="none"/>
      </w:rPr>
    </w:lvl>
    <w:lvl w:ilvl="1">
      <w:start w:val="1"/>
      <w:numFmt w:val="lowerLetter"/>
      <w:lvlText w:val="%2."/>
      <w:lvlJc w:val="left"/>
      <w:pPr>
        <w:ind w:left="1750" w:hanging="360"/>
      </w:pPr>
      <w:rPr>
        <w:rFonts w:ascii="Arial" w:eastAsia="Arial" w:hAnsi="Arial" w:cs="Arial"/>
        <w:b w:val="0"/>
        <w:i w:val="0"/>
        <w:sz w:val="20"/>
        <w:szCs w:val="20"/>
      </w:rPr>
    </w:lvl>
    <w:lvl w:ilvl="2">
      <w:start w:val="1"/>
      <w:numFmt w:val="lowerRoman"/>
      <w:lvlText w:val="%3."/>
      <w:lvlJc w:val="right"/>
      <w:pPr>
        <w:ind w:left="2470" w:hanging="180"/>
      </w:pPr>
      <w:rPr>
        <w:rFonts w:ascii="Arial" w:eastAsia="Arial" w:hAnsi="Arial" w:cs="Arial"/>
        <w:b w:val="0"/>
        <w:i w:val="0"/>
        <w:sz w:val="20"/>
        <w:szCs w:val="20"/>
      </w:rPr>
    </w:lvl>
    <w:lvl w:ilvl="3">
      <w:start w:val="1"/>
      <w:numFmt w:val="decimal"/>
      <w:lvlText w:val="%4."/>
      <w:lvlJc w:val="left"/>
      <w:pPr>
        <w:ind w:left="3190" w:hanging="360"/>
      </w:pPr>
    </w:lvl>
    <w:lvl w:ilvl="4">
      <w:start w:val="1"/>
      <w:numFmt w:val="lowerLetter"/>
      <w:lvlText w:val="%5."/>
      <w:lvlJc w:val="left"/>
      <w:pPr>
        <w:ind w:left="3910" w:hanging="360"/>
      </w:pPr>
    </w:lvl>
    <w:lvl w:ilvl="5">
      <w:start w:val="1"/>
      <w:numFmt w:val="lowerRoman"/>
      <w:lvlText w:val="%6."/>
      <w:lvlJc w:val="right"/>
      <w:pPr>
        <w:ind w:left="4630" w:hanging="180"/>
      </w:pPr>
    </w:lvl>
    <w:lvl w:ilvl="6">
      <w:start w:val="1"/>
      <w:numFmt w:val="decimal"/>
      <w:lvlText w:val="%7."/>
      <w:lvlJc w:val="left"/>
      <w:pPr>
        <w:ind w:left="5350" w:hanging="360"/>
      </w:pPr>
    </w:lvl>
    <w:lvl w:ilvl="7">
      <w:start w:val="1"/>
      <w:numFmt w:val="lowerLetter"/>
      <w:lvlText w:val="%8."/>
      <w:lvlJc w:val="left"/>
      <w:pPr>
        <w:ind w:left="6070" w:hanging="360"/>
      </w:pPr>
    </w:lvl>
    <w:lvl w:ilvl="8">
      <w:start w:val="1"/>
      <w:numFmt w:val="lowerRoman"/>
      <w:lvlText w:val="%9."/>
      <w:lvlJc w:val="right"/>
      <w:pPr>
        <w:ind w:left="6790" w:hanging="180"/>
      </w:pPr>
    </w:lvl>
  </w:abstractNum>
  <w:abstractNum w:abstractNumId="5">
    <w:nsid w:val="39BB7BE4"/>
    <w:multiLevelType w:val="multilevel"/>
    <w:tmpl w:val="64C426E2"/>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46CB2AAD"/>
    <w:multiLevelType w:val="multilevel"/>
    <w:tmpl w:val="BDA0442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4575AA"/>
    <w:multiLevelType w:val="multilevel"/>
    <w:tmpl w:val="7CB6C5A2"/>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3FD492A"/>
    <w:multiLevelType w:val="multilevel"/>
    <w:tmpl w:val="04C098D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5D75F9A"/>
    <w:multiLevelType w:val="multilevel"/>
    <w:tmpl w:val="B4B035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51696C"/>
    <w:multiLevelType w:val="multilevel"/>
    <w:tmpl w:val="66F0937C"/>
    <w:lvl w:ilvl="0">
      <w:start w:val="1"/>
      <w:numFmt w:val="decimal"/>
      <w:lvlText w:val="%1/"/>
      <w:lvlJc w:val="left"/>
      <w:pPr>
        <w:ind w:left="1030" w:hanging="360"/>
      </w:pPr>
      <w:rPr>
        <w:rFonts w:ascii="Arial" w:eastAsia="Arial" w:hAnsi="Arial" w:cs="Arial"/>
        <w:b w:val="0"/>
        <w:i w:val="0"/>
        <w:sz w:val="20"/>
        <w:szCs w:val="20"/>
        <w:u w:val="none"/>
      </w:rPr>
    </w:lvl>
    <w:lvl w:ilvl="1">
      <w:start w:val="1"/>
      <w:numFmt w:val="lowerLetter"/>
      <w:lvlText w:val="%2."/>
      <w:lvlJc w:val="left"/>
      <w:pPr>
        <w:ind w:left="1750" w:hanging="360"/>
      </w:pPr>
      <w:rPr>
        <w:rFonts w:ascii="Arial" w:eastAsia="Arial" w:hAnsi="Arial" w:cs="Arial"/>
        <w:b w:val="0"/>
        <w:i w:val="0"/>
        <w:sz w:val="20"/>
        <w:szCs w:val="20"/>
      </w:rPr>
    </w:lvl>
    <w:lvl w:ilvl="2">
      <w:start w:val="1"/>
      <w:numFmt w:val="lowerRoman"/>
      <w:lvlText w:val="%3."/>
      <w:lvlJc w:val="right"/>
      <w:pPr>
        <w:ind w:left="2470" w:hanging="180"/>
      </w:pPr>
      <w:rPr>
        <w:rFonts w:ascii="Arial" w:eastAsia="Arial" w:hAnsi="Arial" w:cs="Arial"/>
        <w:b w:val="0"/>
        <w:i w:val="0"/>
        <w:sz w:val="20"/>
        <w:szCs w:val="20"/>
      </w:rPr>
    </w:lvl>
    <w:lvl w:ilvl="3">
      <w:start w:val="1"/>
      <w:numFmt w:val="decimal"/>
      <w:lvlText w:val="%4."/>
      <w:lvlJc w:val="left"/>
      <w:pPr>
        <w:ind w:left="3190" w:hanging="360"/>
      </w:pPr>
    </w:lvl>
    <w:lvl w:ilvl="4">
      <w:start w:val="1"/>
      <w:numFmt w:val="lowerLetter"/>
      <w:lvlText w:val="%5."/>
      <w:lvlJc w:val="left"/>
      <w:pPr>
        <w:ind w:left="3910" w:hanging="360"/>
      </w:pPr>
    </w:lvl>
    <w:lvl w:ilvl="5">
      <w:start w:val="1"/>
      <w:numFmt w:val="lowerRoman"/>
      <w:lvlText w:val="%6."/>
      <w:lvlJc w:val="right"/>
      <w:pPr>
        <w:ind w:left="4630" w:hanging="180"/>
      </w:pPr>
    </w:lvl>
    <w:lvl w:ilvl="6">
      <w:start w:val="1"/>
      <w:numFmt w:val="decimal"/>
      <w:lvlText w:val="%7."/>
      <w:lvlJc w:val="left"/>
      <w:pPr>
        <w:ind w:left="5350" w:hanging="360"/>
      </w:pPr>
    </w:lvl>
    <w:lvl w:ilvl="7">
      <w:start w:val="1"/>
      <w:numFmt w:val="lowerLetter"/>
      <w:lvlText w:val="%8."/>
      <w:lvlJc w:val="left"/>
      <w:pPr>
        <w:ind w:left="6070" w:hanging="360"/>
      </w:pPr>
    </w:lvl>
    <w:lvl w:ilvl="8">
      <w:start w:val="1"/>
      <w:numFmt w:val="lowerRoman"/>
      <w:lvlText w:val="%9."/>
      <w:lvlJc w:val="right"/>
      <w:pPr>
        <w:ind w:left="6790" w:hanging="180"/>
      </w:pPr>
    </w:lvl>
  </w:abstractNum>
  <w:num w:numId="1">
    <w:abstractNumId w:val="0"/>
  </w:num>
  <w:num w:numId="2">
    <w:abstractNumId w:val="4"/>
  </w:num>
  <w:num w:numId="3">
    <w:abstractNumId w:val="10"/>
  </w:num>
  <w:num w:numId="4">
    <w:abstractNumId w:val="3"/>
  </w:num>
  <w:num w:numId="5">
    <w:abstractNumId w:val="5"/>
  </w:num>
  <w:num w:numId="6">
    <w:abstractNumId w:val="2"/>
  </w:num>
  <w:num w:numId="7">
    <w:abstractNumId w:val="1"/>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82"/>
    <w:rsid w:val="000C5E35"/>
    <w:rsid w:val="0018711C"/>
    <w:rsid w:val="00193E81"/>
    <w:rsid w:val="001E4E19"/>
    <w:rsid w:val="002C1BD0"/>
    <w:rsid w:val="0032756D"/>
    <w:rsid w:val="00815DFC"/>
    <w:rsid w:val="00941F82"/>
    <w:rsid w:val="009C5D31"/>
    <w:rsid w:val="00B20962"/>
    <w:rsid w:val="00CF6A89"/>
    <w:rsid w:val="00D0522B"/>
    <w:rsid w:val="00D064F5"/>
    <w:rsid w:val="00D77D41"/>
    <w:rsid w:val="00E60D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AF6EA"/>
  <w15:docId w15:val="{5EC61BAC-D2C4-4A2C-91F4-B9EFBB9E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A6556A"/>
      <w:sz w:val="17"/>
      <w:szCs w:val="17"/>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D40E19"/>
      <w:sz w:val="36"/>
      <w:szCs w:val="36"/>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360" w:lineRule="auto"/>
    </w:pPr>
    <w:rPr>
      <w:rFonts w:ascii="Arial" w:eastAsia="Arial" w:hAnsi="Arial" w:cs="Arial"/>
      <w:color w:val="A6556A"/>
      <w:sz w:val="17"/>
      <w:szCs w:val="17"/>
    </w:rPr>
  </w:style>
  <w:style w:type="paragraph" w:customStyle="1" w:styleId="Heading21">
    <w:name w:val="Heading #2"/>
    <w:basedOn w:val="Normal"/>
    <w:link w:val="Heading20"/>
    <w:pPr>
      <w:spacing w:line="223" w:lineRule="auto"/>
      <w:jc w:val="center"/>
      <w:outlineLvl w:val="1"/>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259" w:lineRule="auto"/>
      <w:ind w:left="90" w:firstLine="220"/>
      <w:outlineLvl w:val="2"/>
    </w:pPr>
    <w:rPr>
      <w:rFonts w:ascii="Times New Roman" w:eastAsia="Times New Roman" w:hAnsi="Times New Roman" w:cs="Times New Roman"/>
      <w:b/>
      <w:bCs/>
    </w:rPr>
  </w:style>
  <w:style w:type="paragraph" w:customStyle="1" w:styleId="Heading11">
    <w:name w:val="Heading #1"/>
    <w:basedOn w:val="Normal"/>
    <w:link w:val="Heading10"/>
    <w:pPr>
      <w:ind w:left="7300"/>
      <w:outlineLvl w:val="0"/>
    </w:pPr>
    <w:rPr>
      <w:rFonts w:ascii="Times New Roman" w:eastAsia="Times New Roman" w:hAnsi="Times New Roman" w:cs="Times New Roman"/>
      <w:smallCaps/>
      <w:color w:val="D40E19"/>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YxtVxLR0E1CNp641kZzIHfFPDg==">CgMxLjA4AHIhMVpjMDl2Q0ZBRnludXYwN0MxdmxIdnVjbk9PbER0MDdE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945</Words>
  <Characters>5065</Characters>
  <Application>Microsoft Office Word</Application>
  <DocSecurity>0</DocSecurity>
  <Lines>93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2024-06-03T03:44:00Z</dcterms:created>
  <dcterms:modified xsi:type="dcterms:W3CDTF">2024-06-05T09:29:00Z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c91f02070fe590346086f6532a7c7aa2b00ba209a35760b814bcb7a2b283e3ea</vt:lpwstr>
  </property>
</Properties>
</file>